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12507D95" w:rsidR="004F1918" w:rsidRPr="004F1918" w:rsidRDefault="00457550" w:rsidP="004F1918">
            <w:pPr>
              <w:pStyle w:val="M7"/>
              <w:framePr w:wrap="auto" w:vAnchor="margin" w:hAnchor="text" w:xAlign="left" w:yAlign="inline"/>
              <w:suppressOverlap w:val="0"/>
              <w:rPr>
                <w:b w:val="0"/>
                <w:sz w:val="18"/>
                <w:szCs w:val="18"/>
                <w:lang w:val="en-US"/>
              </w:rPr>
            </w:pPr>
            <w:r>
              <w:rPr>
                <w:b w:val="0"/>
                <w:sz w:val="18"/>
                <w:szCs w:val="18"/>
                <w:lang w:val="en-US"/>
              </w:rPr>
              <w:t>August</w:t>
            </w:r>
            <w:r w:rsidR="009C422C">
              <w:rPr>
                <w:b w:val="0"/>
                <w:sz w:val="18"/>
                <w:szCs w:val="18"/>
                <w:lang w:val="en-US"/>
              </w:rPr>
              <w:t xml:space="preserve"> </w:t>
            </w:r>
            <w:r w:rsidR="00AD7FAB">
              <w:rPr>
                <w:b w:val="0"/>
                <w:sz w:val="18"/>
                <w:szCs w:val="18"/>
                <w:lang w:val="en-US"/>
              </w:rPr>
              <w:t>26</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b/>
          <w:noProof/>
          <w:sz w:val="13"/>
          <w:szCs w:val="13"/>
          <w:lang w:val="de-DE"/>
        </w:rPr>
        <w:t>Evonik Industries AG</w:t>
      </w:r>
    </w:p>
    <w:p w14:paraId="67BACC5F"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noProof/>
          <w:sz w:val="13"/>
          <w:szCs w:val="13"/>
          <w:lang w:val="de-DE"/>
        </w:rPr>
        <w:t>Rellinghauser Straße 1-11</w:t>
      </w:r>
    </w:p>
    <w:p w14:paraId="043F344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45128 Essen</w:t>
      </w:r>
    </w:p>
    <w:p w14:paraId="07C6350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Germany</w:t>
      </w:r>
    </w:p>
    <w:p w14:paraId="59EC48B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Phone +49 201 177-01</w:t>
      </w:r>
    </w:p>
    <w:p w14:paraId="58ADACA1"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Fax +49 201 177-3475</w:t>
      </w:r>
    </w:p>
    <w:p w14:paraId="19C47F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FF79C4" w:rsidRDefault="00A375B5" w:rsidP="00CA6F45">
      <w:pPr>
        <w:framePr w:w="2659" w:wrap="around" w:hAnchor="page" w:x="8971" w:yAlign="bottom" w:anchorLock="1"/>
        <w:spacing w:line="180" w:lineRule="exact"/>
        <w:rPr>
          <w:rFonts w:ascii="Lucida Sans" w:hAnsi="Lucida Sans"/>
          <w:color w:val="000000"/>
          <w:sz w:val="13"/>
          <w:szCs w:val="13"/>
          <w:lang w:val="en-US"/>
        </w:rPr>
      </w:pPr>
      <w:r w:rsidRPr="00FF79C4">
        <w:rPr>
          <w:rFonts w:ascii="Lucida Sans" w:hAnsi="Lucida Sans"/>
          <w:b/>
          <w:color w:val="000000"/>
          <w:sz w:val="13"/>
          <w:szCs w:val="13"/>
          <w:lang w:val="en-US"/>
        </w:rPr>
        <w:t>Supervisory Board</w:t>
      </w:r>
      <w:r w:rsidRPr="00FF79C4">
        <w:rPr>
          <w:rFonts w:ascii="Lucida Sans" w:hAnsi="Lucida Sans"/>
          <w:color w:val="000000"/>
          <w:sz w:val="13"/>
          <w:szCs w:val="13"/>
          <w:lang w:val="en-US"/>
        </w:rPr>
        <w:br/>
        <w:t xml:space="preserve">Bernd </w:t>
      </w:r>
      <w:proofErr w:type="spellStart"/>
      <w:r w:rsidRPr="00FF79C4">
        <w:rPr>
          <w:rFonts w:ascii="Lucida Sans" w:hAnsi="Lucida Sans"/>
          <w:color w:val="000000"/>
          <w:sz w:val="13"/>
          <w:szCs w:val="13"/>
          <w:lang w:val="en-US"/>
        </w:rPr>
        <w:t>Tönjes</w:t>
      </w:r>
      <w:proofErr w:type="spellEnd"/>
      <w:r w:rsidRPr="00FF79C4">
        <w:rPr>
          <w:rFonts w:ascii="Lucida Sans" w:hAnsi="Lucida Sans"/>
          <w:color w:val="000000"/>
          <w:sz w:val="13"/>
          <w:szCs w:val="13"/>
          <w:lang w:val="en-US"/>
        </w:rPr>
        <w:t>, Chairman</w:t>
      </w:r>
      <w:r w:rsidRPr="00FF79C4">
        <w:rPr>
          <w:rFonts w:ascii="Lucida Sans" w:hAnsi="Lucida Sans"/>
          <w:color w:val="000000"/>
          <w:sz w:val="13"/>
          <w:szCs w:val="13"/>
          <w:lang w:val="en-US"/>
        </w:rPr>
        <w:br/>
      </w:r>
      <w:r w:rsidRPr="00FF79C4">
        <w:rPr>
          <w:rFonts w:ascii="Lucida Sans" w:hAnsi="Lucida Sans"/>
          <w:b/>
          <w:color w:val="000000"/>
          <w:sz w:val="13"/>
          <w:szCs w:val="13"/>
          <w:lang w:val="en-US"/>
        </w:rPr>
        <w:t>Executive Board</w:t>
      </w:r>
      <w:r w:rsidRPr="00FF79C4">
        <w:rPr>
          <w:rFonts w:ascii="Lucida Sans" w:hAnsi="Lucida Sans"/>
          <w:color w:val="000000"/>
          <w:sz w:val="13"/>
          <w:szCs w:val="13"/>
          <w:lang w:val="en-US"/>
        </w:rPr>
        <w:br/>
        <w:t>Christian Kullmann, Chairman</w:t>
      </w:r>
      <w:r w:rsidRPr="00FF79C4">
        <w:rPr>
          <w:rFonts w:ascii="Lucida Sans" w:hAnsi="Lucida Sans"/>
          <w:color w:val="000000"/>
          <w:sz w:val="13"/>
          <w:szCs w:val="13"/>
          <w:lang w:val="en-US"/>
        </w:rPr>
        <w:br/>
        <w:t>Dr. Harald Schwager, Deputy Chairman</w:t>
      </w:r>
      <w:r w:rsidRPr="00FF79C4">
        <w:rPr>
          <w:rFonts w:ascii="Lucida Sans" w:hAnsi="Lucida Sans"/>
          <w:color w:val="000000"/>
          <w:sz w:val="13"/>
          <w:szCs w:val="13"/>
          <w:lang w:val="en-US"/>
        </w:rPr>
        <w:br/>
        <w:t>Thomas Wessel, Ute Wolf</w:t>
      </w:r>
    </w:p>
    <w:p w14:paraId="6A40A4C9" w14:textId="77777777" w:rsidR="00A375B5" w:rsidRPr="00FF79C4" w:rsidRDefault="00A375B5" w:rsidP="00CA6F45">
      <w:pPr>
        <w:framePr w:w="2659" w:wrap="around" w:hAnchor="page" w:x="8971" w:yAlign="bottom" w:anchorLock="1"/>
        <w:spacing w:line="180" w:lineRule="exact"/>
        <w:rPr>
          <w:rFonts w:ascii="Lucida Sans" w:hAnsi="Lucida Sans"/>
          <w:noProof/>
          <w:sz w:val="13"/>
          <w:szCs w:val="13"/>
        </w:rPr>
      </w:pPr>
    </w:p>
    <w:p w14:paraId="4CFEB5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Registered Office is Essen</w:t>
      </w:r>
    </w:p>
    <w:p w14:paraId="62901EFB"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 Court Essen Local Court</w:t>
      </w:r>
    </w:p>
    <w:p w14:paraId="4E0169E9" w14:textId="77777777" w:rsidR="008A2AE8"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Commercial Registry B 19474</w:t>
      </w:r>
    </w:p>
    <w:p w14:paraId="6464A721" w14:textId="77777777" w:rsidR="00980CA2" w:rsidRDefault="00980CA2" w:rsidP="00AD7FAB">
      <w:pPr>
        <w:pStyle w:val="Titel"/>
      </w:pPr>
      <w:bookmarkStart w:id="0" w:name="_Hlk38958809"/>
    </w:p>
    <w:p w14:paraId="52E3347C" w14:textId="77777777" w:rsidR="00980CA2" w:rsidRDefault="00980CA2" w:rsidP="00AD7FAB">
      <w:pPr>
        <w:pStyle w:val="Titel"/>
      </w:pPr>
    </w:p>
    <w:p w14:paraId="47924089" w14:textId="046C897D" w:rsidR="00AD7FAB" w:rsidRPr="00AD7FAB" w:rsidRDefault="00AD7FAB" w:rsidP="00AD7FAB">
      <w:pPr>
        <w:pStyle w:val="Titel"/>
        <w:rPr>
          <w:b w:val="0"/>
          <w:u w:val="single"/>
          <w:lang w:val="en-US"/>
        </w:rPr>
      </w:pPr>
      <w:r>
        <w:t xml:space="preserve">Evonik acquires </w:t>
      </w:r>
      <w:proofErr w:type="spellStart"/>
      <w:r>
        <w:t>Porocel</w:t>
      </w:r>
      <w:proofErr w:type="spellEnd"/>
      <w:r>
        <w:t xml:space="preserve"> for US$210 million to accelerate growth of catalysts business </w:t>
      </w:r>
    </w:p>
    <w:p w14:paraId="238F2AD5" w14:textId="77777777" w:rsidR="00E273A7" w:rsidRPr="00AD7FAB" w:rsidRDefault="00E273A7" w:rsidP="00E273A7">
      <w:pPr>
        <w:pStyle w:val="Titel"/>
      </w:pPr>
    </w:p>
    <w:p w14:paraId="4ECE6717" w14:textId="77777777" w:rsidR="00AD7FAB" w:rsidRPr="000A2BC2" w:rsidRDefault="00AD7FAB" w:rsidP="00AD7FAB">
      <w:pPr>
        <w:numPr>
          <w:ilvl w:val="0"/>
          <w:numId w:val="32"/>
        </w:numPr>
        <w:tabs>
          <w:tab w:val="clear" w:pos="1425"/>
          <w:tab w:val="num" w:pos="340"/>
        </w:tabs>
        <w:ind w:left="340" w:right="85" w:hanging="340"/>
        <w:rPr>
          <w:rFonts w:cs="Lucida Sans Unicode"/>
          <w:sz w:val="24"/>
        </w:rPr>
      </w:pPr>
      <w:r>
        <w:rPr>
          <w:sz w:val="24"/>
        </w:rPr>
        <w:t xml:space="preserve">Acquisition of </w:t>
      </w:r>
      <w:proofErr w:type="spellStart"/>
      <w:r>
        <w:rPr>
          <w:sz w:val="24"/>
        </w:rPr>
        <w:t>Porocel</w:t>
      </w:r>
      <w:proofErr w:type="spellEnd"/>
      <w:r>
        <w:rPr>
          <w:sz w:val="24"/>
        </w:rPr>
        <w:t xml:space="preserve"> gives Evonik access to catalyst </w:t>
      </w:r>
      <w:r w:rsidRPr="003F1C78">
        <w:rPr>
          <w:sz w:val="24"/>
        </w:rPr>
        <w:t xml:space="preserve">rejuvenation </w:t>
      </w:r>
      <w:r>
        <w:rPr>
          <w:sz w:val="24"/>
        </w:rPr>
        <w:t>technology and to available production capacity</w:t>
      </w:r>
    </w:p>
    <w:p w14:paraId="5F55AB81" w14:textId="77777777" w:rsidR="00AD7FAB" w:rsidRPr="00F10949" w:rsidRDefault="00AD7FAB" w:rsidP="00AD7FAB">
      <w:pPr>
        <w:numPr>
          <w:ilvl w:val="0"/>
          <w:numId w:val="32"/>
        </w:numPr>
        <w:tabs>
          <w:tab w:val="clear" w:pos="1425"/>
          <w:tab w:val="num" w:pos="340"/>
        </w:tabs>
        <w:ind w:left="340" w:right="85" w:hanging="340"/>
        <w:rPr>
          <w:rFonts w:cs="Lucida Sans Unicode"/>
          <w:sz w:val="24"/>
        </w:rPr>
      </w:pPr>
      <w:r>
        <w:rPr>
          <w:sz w:val="24"/>
        </w:rPr>
        <w:t xml:space="preserve">Catalyst </w:t>
      </w:r>
      <w:r w:rsidRPr="003F1C78">
        <w:rPr>
          <w:sz w:val="24"/>
        </w:rPr>
        <w:t>rejuvenation</w:t>
      </w:r>
      <w:r w:rsidRPr="00925CB6">
        <w:rPr>
          <w:sz w:val="24"/>
        </w:rPr>
        <w:t xml:space="preserve"> </w:t>
      </w:r>
      <w:r>
        <w:rPr>
          <w:sz w:val="24"/>
        </w:rPr>
        <w:t>reduces CO</w:t>
      </w:r>
      <w:r>
        <w:rPr>
          <w:sz w:val="24"/>
          <w:vertAlign w:val="subscript"/>
        </w:rPr>
        <w:t>2</w:t>
      </w:r>
      <w:r>
        <w:rPr>
          <w:sz w:val="24"/>
        </w:rPr>
        <w:t xml:space="preserve"> emissions and facilitates a circular economy</w:t>
      </w:r>
    </w:p>
    <w:p w14:paraId="74A15F02" w14:textId="77777777" w:rsidR="00AD7FAB" w:rsidRPr="00F10949" w:rsidRDefault="00AD7FAB" w:rsidP="00AD7FAB">
      <w:pPr>
        <w:numPr>
          <w:ilvl w:val="0"/>
          <w:numId w:val="32"/>
        </w:numPr>
        <w:tabs>
          <w:tab w:val="clear" w:pos="1425"/>
          <w:tab w:val="num" w:pos="340"/>
        </w:tabs>
        <w:ind w:left="340" w:right="85" w:hanging="340"/>
        <w:rPr>
          <w:rFonts w:cs="Lucida Sans Unicode"/>
          <w:sz w:val="24"/>
        </w:rPr>
      </w:pPr>
      <w:r>
        <w:rPr>
          <w:sz w:val="24"/>
        </w:rPr>
        <w:t>Purchase further sharpens portfolio with focus on stable and high-margin specialty chemicals</w:t>
      </w:r>
    </w:p>
    <w:p w14:paraId="4C389ED4" w14:textId="77777777" w:rsidR="00E273A7" w:rsidRPr="00AD7FAB" w:rsidDel="00A8155A" w:rsidRDefault="00E273A7" w:rsidP="00E273A7">
      <w:pPr>
        <w:ind w:left="340" w:right="85"/>
        <w:rPr>
          <w:rFonts w:cs="Lucida Sans Unicode"/>
          <w:sz w:val="24"/>
        </w:rPr>
      </w:pPr>
    </w:p>
    <w:bookmarkEnd w:id="0"/>
    <w:p w14:paraId="3331FB7D" w14:textId="77777777" w:rsidR="00E273A7" w:rsidRPr="00920045" w:rsidRDefault="00E273A7" w:rsidP="00E273A7">
      <w:pPr>
        <w:ind w:right="85"/>
        <w:rPr>
          <w:sz w:val="24"/>
          <w:lang w:val="en-US"/>
        </w:rPr>
      </w:pPr>
    </w:p>
    <w:p w14:paraId="36A3AE88" w14:textId="77777777" w:rsidR="00AD7FAB" w:rsidRDefault="00AD7FAB" w:rsidP="00AD7FAB">
      <w:r>
        <w:rPr>
          <w:b/>
        </w:rPr>
        <w:t>Essen, Germany.</w:t>
      </w:r>
      <w:r>
        <w:t xml:space="preserve"> Evonik is acquiring the </w:t>
      </w:r>
      <w:proofErr w:type="spellStart"/>
      <w:r>
        <w:t>Porocel</w:t>
      </w:r>
      <w:proofErr w:type="spellEnd"/>
      <w:r>
        <w:t xml:space="preserve"> Group for</w:t>
      </w:r>
    </w:p>
    <w:p w14:paraId="406B591E" w14:textId="77777777" w:rsidR="00AD7FAB" w:rsidRDefault="00AD7FAB" w:rsidP="00AD7FAB">
      <w:r>
        <w:t xml:space="preserve">US$210 million to accelerate the growth of its catalysts business. </w:t>
      </w:r>
      <w:r w:rsidRPr="001F1DE7">
        <w:t>Based in Houston, T</w:t>
      </w:r>
      <w:r>
        <w:t>exas</w:t>
      </w:r>
      <w:r w:rsidRPr="001F1DE7">
        <w:t xml:space="preserve"> (USA)</w:t>
      </w:r>
      <w:r w:rsidRPr="00885C5D">
        <w:t>,</w:t>
      </w:r>
      <w:r>
        <w:t xml:space="preserve"> </w:t>
      </w:r>
      <w:proofErr w:type="spellStart"/>
      <w:r>
        <w:t>Porocel</w:t>
      </w:r>
      <w:proofErr w:type="spellEnd"/>
      <w:r>
        <w:t xml:space="preserve"> offers a technology for highly efficient rejuvenation of desulfurization catalysts, which are in increasing demand to produce low-</w:t>
      </w:r>
      <w:proofErr w:type="spellStart"/>
      <w:r>
        <w:t>sulfur</w:t>
      </w:r>
      <w:proofErr w:type="spellEnd"/>
      <w:r>
        <w:t xml:space="preserve"> fuel. Rejuvenation reduces carbon-dioxide emissions by more than 50 percent compared with the production of new desulfurization catalysts.</w:t>
      </w:r>
    </w:p>
    <w:p w14:paraId="7146B933" w14:textId="77777777" w:rsidR="00AD7FAB" w:rsidRDefault="00AD7FAB" w:rsidP="00AD7FAB">
      <w:r>
        <w:t xml:space="preserve">In addition, </w:t>
      </w:r>
      <w:proofErr w:type="spellStart"/>
      <w:r>
        <w:t>Porocel</w:t>
      </w:r>
      <w:proofErr w:type="spellEnd"/>
      <w:r>
        <w:t xml:space="preserve"> has available production capacity, enabling Evonik to speed up expansion of its existing business with</w:t>
      </w:r>
    </w:p>
    <w:p w14:paraId="413BC98C" w14:textId="77777777" w:rsidR="00AD7FAB" w:rsidRDefault="00AD7FAB" w:rsidP="00AD7FAB">
      <w:r>
        <w:t xml:space="preserve">fixed-bed catalysts.   </w:t>
      </w:r>
    </w:p>
    <w:p w14:paraId="2DAFC89E" w14:textId="77777777" w:rsidR="00AD7FAB" w:rsidRDefault="00AD7FAB" w:rsidP="00AD7FAB"/>
    <w:p w14:paraId="4BB0172F" w14:textId="77777777" w:rsidR="00AD7FAB" w:rsidRDefault="00AD7FAB" w:rsidP="00AD7FAB">
      <w:pPr>
        <w:tabs>
          <w:tab w:val="left" w:pos="990"/>
        </w:tabs>
        <w:rPr>
          <w:szCs w:val="22"/>
        </w:rPr>
      </w:pPr>
      <w:r>
        <w:t>“This acquisition is the next logical step in the strategic development of our portfolio.</w:t>
      </w:r>
      <w:r w:rsidRPr="00583FA2">
        <w:t xml:space="preserve"> </w:t>
      </w:r>
      <w:r>
        <w:t>Our</w:t>
      </w:r>
      <w:r w:rsidRPr="00583FA2">
        <w:t xml:space="preserve"> focus </w:t>
      </w:r>
      <w:r>
        <w:t xml:space="preserve">is </w:t>
      </w:r>
      <w:r w:rsidRPr="00583FA2">
        <w:t>on stable and high-margin specialty chemicals</w:t>
      </w:r>
      <w:r>
        <w:t>,” said Christian Kullmann, chairman of the executive board. “We are systematically expanding the share of our specialty businesses – and that at an attractive valuation.”</w:t>
      </w:r>
    </w:p>
    <w:p w14:paraId="3D765259" w14:textId="77777777" w:rsidR="00AD7FAB" w:rsidRPr="00A70459" w:rsidRDefault="00AD7FAB" w:rsidP="00AD7FAB"/>
    <w:p w14:paraId="7F41E5DD" w14:textId="77777777" w:rsidR="00AD7FAB" w:rsidRDefault="00AD7FAB" w:rsidP="00AD7FAB">
      <w:r>
        <w:t xml:space="preserve">The purchase price (enterprise value) is 9.1 times adjusted earnings before interest, tax, depreciation and amortization (EBITDA) in 2019, </w:t>
      </w:r>
      <w:r w:rsidRPr="00D72027">
        <w:t xml:space="preserve">which is an attractive valuation </w:t>
      </w:r>
      <w:r>
        <w:t>for a</w:t>
      </w:r>
      <w:r w:rsidRPr="00D72027">
        <w:t xml:space="preserve"> high-quality asset in the catalyst sector.</w:t>
      </w:r>
      <w:r>
        <w:t xml:space="preserve"> </w:t>
      </w:r>
      <w:r w:rsidRPr="00583FA2">
        <w:t>The transaction is expected</w:t>
      </w:r>
    </w:p>
    <w:p w14:paraId="1E1C3EB5" w14:textId="77777777" w:rsidR="00AD7FAB" w:rsidRPr="00A70459" w:rsidRDefault="00AD7FAB" w:rsidP="00AD7FAB">
      <w:r w:rsidRPr="00583FA2">
        <w:t xml:space="preserve">to close </w:t>
      </w:r>
      <w:r>
        <w:t>by the end of</w:t>
      </w:r>
      <w:r w:rsidRPr="00583FA2">
        <w:t xml:space="preserve"> 2020</w:t>
      </w:r>
      <w:r>
        <w:t xml:space="preserve"> and is subject to approval by the relevant authorities. </w:t>
      </w:r>
    </w:p>
    <w:p w14:paraId="3C9E5D20" w14:textId="77777777" w:rsidR="00AD7FAB" w:rsidRPr="00A70459" w:rsidRDefault="00AD7FAB" w:rsidP="00AD7FAB"/>
    <w:p w14:paraId="22677762" w14:textId="77777777" w:rsidR="00AD7FAB" w:rsidRDefault="00AD7FAB" w:rsidP="00AD7FAB">
      <w:proofErr w:type="spellStart"/>
      <w:r>
        <w:lastRenderedPageBreak/>
        <w:t>Porocel</w:t>
      </w:r>
      <w:proofErr w:type="spellEnd"/>
      <w:r>
        <w:t xml:space="preserve"> generated sales of approximately US$100 million and EBITDA of about US$23 million in 2019. The EBITDA margin at around 23 percent is above Evonik's target range of</w:t>
      </w:r>
    </w:p>
    <w:p w14:paraId="765BAD82" w14:textId="77777777" w:rsidR="00AD7FAB" w:rsidRDefault="00AD7FAB" w:rsidP="00AD7FAB">
      <w:r>
        <w:t xml:space="preserve">18-20 percent. </w:t>
      </w:r>
      <w:proofErr w:type="spellStart"/>
      <w:r>
        <w:t>Porocel</w:t>
      </w:r>
      <w:proofErr w:type="spellEnd"/>
      <w:r>
        <w:t xml:space="preserve"> has increased its EBITDA significantly in the last three years, driven by new product development through an expansion of research and development capabilities. The company has more than 300 employees worldwide and production facilities in the USA, Canada, Luxembourg, and Singapore. </w:t>
      </w:r>
    </w:p>
    <w:p w14:paraId="361C5C4C" w14:textId="77777777" w:rsidR="00AD7FAB" w:rsidRDefault="00AD7FAB" w:rsidP="00AD7FAB"/>
    <w:p w14:paraId="790DA40D" w14:textId="77777777" w:rsidR="00AD7FAB" w:rsidRDefault="00AD7FAB" w:rsidP="00AD7FAB">
      <w:pPr>
        <w:rPr>
          <w:szCs w:val="22"/>
        </w:rPr>
      </w:pPr>
      <w:proofErr w:type="spellStart"/>
      <w:r>
        <w:t>Porocel’s</w:t>
      </w:r>
      <w:proofErr w:type="spellEnd"/>
      <w:r>
        <w:t xml:space="preserve"> global position strengthens the worldwide presence of Evonik's catalyst activities. The complementary fit to Evonik’s existing catalyst portfolio and especially the available production capacities offer considerable growth opportunities. Evonik expects to increase sales of the combined catalyst business to significantly more than €500 million by the end of 2025 without the need for investment in new capacities.</w:t>
      </w:r>
    </w:p>
    <w:p w14:paraId="1B5B7BC3" w14:textId="77777777" w:rsidR="00AD7FAB" w:rsidRPr="00DB6105" w:rsidRDefault="00AD7FAB" w:rsidP="00AD7FAB"/>
    <w:p w14:paraId="1FA7B731" w14:textId="77777777" w:rsidR="00AD7FAB" w:rsidRDefault="00AD7FAB" w:rsidP="00AD7FAB">
      <w:r>
        <w:t xml:space="preserve">Catalysts are essential </w:t>
      </w:r>
      <w:proofErr w:type="gramStart"/>
      <w:r>
        <w:t>for the production of</w:t>
      </w:r>
      <w:proofErr w:type="gramEnd"/>
      <w:r>
        <w:t xml:space="preserve"> many chemical products and for production of clean fuels. The market is characterized by a broad spectrum of applications and robust growth of around 4 percent with low cyclicality. </w:t>
      </w:r>
    </w:p>
    <w:p w14:paraId="002B93FE" w14:textId="77777777" w:rsidR="00AD7FAB" w:rsidRDefault="00AD7FAB" w:rsidP="00AD7FAB"/>
    <w:p w14:paraId="22D92BCD" w14:textId="77777777" w:rsidR="00AD7FAB" w:rsidRPr="00B65207" w:rsidRDefault="00AD7FAB" w:rsidP="00AD7FAB">
      <w:pPr>
        <w:rPr>
          <w:b/>
        </w:rPr>
      </w:pPr>
      <w:proofErr w:type="spellStart"/>
      <w:r>
        <w:rPr>
          <w:b/>
        </w:rPr>
        <w:t>Porocel</w:t>
      </w:r>
      <w:proofErr w:type="spellEnd"/>
      <w:r>
        <w:rPr>
          <w:b/>
        </w:rPr>
        <w:t xml:space="preserve"> technology drives sustainability</w:t>
      </w:r>
    </w:p>
    <w:p w14:paraId="0072179E" w14:textId="77777777" w:rsidR="00AD7FAB" w:rsidRDefault="00AD7FAB" w:rsidP="00AD7FAB">
      <w:r>
        <w:t xml:space="preserve"> </w:t>
      </w:r>
    </w:p>
    <w:p w14:paraId="3400B67B" w14:textId="77777777" w:rsidR="00AD7FAB" w:rsidRPr="009E5F50" w:rsidRDefault="00AD7FAB" w:rsidP="00AD7FAB">
      <w:r>
        <w:t xml:space="preserve">“Sustainability and especially circular economy play a decisive role for us when it comes to acquisitions and the orientation of our portfolio,” said Claus Rettig, head of the Smart Materials division. “With the acquisition of </w:t>
      </w:r>
      <w:proofErr w:type="spellStart"/>
      <w:r>
        <w:t>Porocel</w:t>
      </w:r>
      <w:proofErr w:type="spellEnd"/>
      <w:r>
        <w:t xml:space="preserve"> we are meeting increasing demand that is coming from a trend towards </w:t>
      </w:r>
      <w:proofErr w:type="spellStart"/>
      <w:r>
        <w:t>sulfur</w:t>
      </w:r>
      <w:proofErr w:type="spellEnd"/>
      <w:r>
        <w:t>-free fuels as well as reducing CO</w:t>
      </w:r>
      <w:r>
        <w:rPr>
          <w:sz w:val="24"/>
          <w:vertAlign w:val="subscript"/>
        </w:rPr>
        <w:t>2</w:t>
      </w:r>
      <w:r>
        <w:t xml:space="preserve"> emissions and saving resources. The catalyst rejuvenation process results in significantly less CO</w:t>
      </w:r>
      <w:r>
        <w:rPr>
          <w:sz w:val="24"/>
          <w:vertAlign w:val="subscript"/>
        </w:rPr>
        <w:t>2</w:t>
      </w:r>
      <w:r>
        <w:t xml:space="preserve"> emissions than the manufacture of fresh catalysts, while yielding comparable efficiency and at a much lower cost.”</w:t>
      </w:r>
    </w:p>
    <w:p w14:paraId="1A655B5D" w14:textId="77777777" w:rsidR="00AD7FAB" w:rsidRDefault="00AD7FAB" w:rsidP="00AD7FAB"/>
    <w:p w14:paraId="77A218BA" w14:textId="77777777" w:rsidR="00980CA2" w:rsidRDefault="00AD7FAB" w:rsidP="00AD7FAB">
      <w:r>
        <w:t xml:space="preserve">The acquisition gives Evonik access to major customers in the refinery and petrochemicals sector. </w:t>
      </w:r>
      <w:proofErr w:type="spellStart"/>
      <w:r>
        <w:t>Porocel's</w:t>
      </w:r>
      <w:proofErr w:type="spellEnd"/>
      <w:r>
        <w:t xml:space="preserve"> core competence is an efficient technology for purification adsorbents, </w:t>
      </w:r>
      <w:proofErr w:type="spellStart"/>
      <w:r>
        <w:t>sulfur</w:t>
      </w:r>
      <w:proofErr w:type="spellEnd"/>
      <w:r>
        <w:t xml:space="preserve"> recovery catalysts and </w:t>
      </w:r>
      <w:proofErr w:type="spellStart"/>
      <w:r>
        <w:t>hydroprocessing</w:t>
      </w:r>
      <w:proofErr w:type="spellEnd"/>
      <w:r>
        <w:t xml:space="preserve"> services highlighted by rejuvenation of used desulfurization catalysts. </w:t>
      </w:r>
    </w:p>
    <w:p w14:paraId="0E80BC30" w14:textId="3F17303B" w:rsidR="00AD7FAB" w:rsidRDefault="00AD7FAB" w:rsidP="00AD7FAB">
      <w:r>
        <w:lastRenderedPageBreak/>
        <w:t xml:space="preserve">“Our </w:t>
      </w:r>
      <w:r w:rsidRPr="009234DD">
        <w:t xml:space="preserve">innovation power driven by </w:t>
      </w:r>
      <w:r>
        <w:t>the</w:t>
      </w:r>
      <w:r w:rsidRPr="009234DD">
        <w:t xml:space="preserve"> talented team at </w:t>
      </w:r>
      <w:proofErr w:type="spellStart"/>
      <w:r w:rsidRPr="009234DD">
        <w:t>Porocel</w:t>
      </w:r>
      <w:proofErr w:type="spellEnd"/>
      <w:r w:rsidRPr="009234DD">
        <w:t xml:space="preserve"> is well suited to Evonik’s culture and we look forward to grow the business further together</w:t>
      </w:r>
      <w:r>
        <w:t>,”</w:t>
      </w:r>
      <w:r w:rsidRPr="009234DD">
        <w:t xml:space="preserve"> said Terence McHugh,</w:t>
      </w:r>
      <w:r>
        <w:t xml:space="preserve"> p</w:t>
      </w:r>
      <w:r w:rsidRPr="009234DD">
        <w:t>resident</w:t>
      </w:r>
      <w:r>
        <w:t xml:space="preserve"> and chief operating officer</w:t>
      </w:r>
      <w:r w:rsidRPr="009234DD">
        <w:t xml:space="preserve"> of </w:t>
      </w:r>
      <w:proofErr w:type="spellStart"/>
      <w:r w:rsidRPr="009234DD">
        <w:t>Poroce</w:t>
      </w:r>
      <w:r>
        <w:t>l</w:t>
      </w:r>
      <w:proofErr w:type="spellEnd"/>
      <w:r w:rsidRPr="009234DD">
        <w:t>.</w:t>
      </w:r>
      <w:r>
        <w:rPr>
          <w:rFonts w:ascii="Trebuchet MS" w:hAnsi="Trebuchet MS"/>
          <w:color w:val="0D0D0D"/>
          <w:sz w:val="20"/>
          <w:szCs w:val="20"/>
        </w:rPr>
        <w:t xml:space="preserve"> </w:t>
      </w:r>
    </w:p>
    <w:p w14:paraId="7BC0394D" w14:textId="77777777" w:rsidR="00AD7FAB" w:rsidRPr="00A46AEC" w:rsidRDefault="00AD7FAB" w:rsidP="00AD7FAB"/>
    <w:p w14:paraId="1D4800A2" w14:textId="18634433" w:rsidR="00457550" w:rsidRDefault="00AD7FAB" w:rsidP="00AD7FAB">
      <w:pPr>
        <w:spacing w:line="240" w:lineRule="auto"/>
        <w:rPr>
          <w:b/>
          <w:bCs/>
          <w:color w:val="000000"/>
          <w:sz w:val="18"/>
          <w:szCs w:val="18"/>
        </w:rPr>
      </w:pPr>
      <w:r w:rsidRPr="00A46AEC">
        <w:t>The transaction will be financed out of Evonik's strong cash position.</w:t>
      </w:r>
    </w:p>
    <w:p w14:paraId="1CBB9CB4" w14:textId="71EBF5C6" w:rsidR="00457550" w:rsidRDefault="00457550" w:rsidP="009C3A01">
      <w:pPr>
        <w:spacing w:line="240" w:lineRule="auto"/>
        <w:rPr>
          <w:b/>
          <w:bCs/>
          <w:color w:val="000000"/>
          <w:sz w:val="18"/>
          <w:szCs w:val="18"/>
        </w:rPr>
      </w:pPr>
    </w:p>
    <w:p w14:paraId="5478ED36" w14:textId="4BBA495E" w:rsidR="00457550" w:rsidRDefault="00457550" w:rsidP="009C3A01">
      <w:pPr>
        <w:spacing w:line="240" w:lineRule="auto"/>
        <w:rPr>
          <w:b/>
          <w:bCs/>
          <w:color w:val="000000"/>
          <w:sz w:val="18"/>
          <w:szCs w:val="18"/>
        </w:rPr>
      </w:pPr>
    </w:p>
    <w:p w14:paraId="7D399BD7" w14:textId="39E300C8" w:rsidR="00457550" w:rsidRDefault="00457550" w:rsidP="009C3A01">
      <w:pPr>
        <w:spacing w:line="240" w:lineRule="auto"/>
        <w:rPr>
          <w:b/>
          <w:bCs/>
          <w:color w:val="000000"/>
          <w:sz w:val="18"/>
          <w:szCs w:val="18"/>
        </w:rPr>
      </w:pPr>
    </w:p>
    <w:p w14:paraId="69059350" w14:textId="77777777" w:rsidR="00980CA2" w:rsidRDefault="00AD7FAB" w:rsidP="00980CA2">
      <w:pPr>
        <w:spacing w:line="240" w:lineRule="auto"/>
      </w:pPr>
      <w:r w:rsidRPr="00AD7FAB">
        <w:t xml:space="preserve">Video interview with </w:t>
      </w:r>
      <w:proofErr w:type="spellStart"/>
      <w:r w:rsidRPr="00AD7FAB">
        <w:t>Dr.</w:t>
      </w:r>
      <w:proofErr w:type="spellEnd"/>
      <w:r w:rsidRPr="00AD7FAB">
        <w:t xml:space="preserve"> Claus Rettig (president Smart Materials) for further information on the </w:t>
      </w:r>
      <w:proofErr w:type="spellStart"/>
      <w:r w:rsidRPr="00AD7FAB">
        <w:t>Porocel</w:t>
      </w:r>
      <w:proofErr w:type="spellEnd"/>
      <w:r w:rsidRPr="00AD7FAB">
        <w:t xml:space="preserve"> acquisition: </w:t>
      </w:r>
    </w:p>
    <w:p w14:paraId="60199E6D" w14:textId="7A166104" w:rsidR="00AD7FAB" w:rsidRPr="00357F67" w:rsidRDefault="00CC69E9" w:rsidP="00980CA2">
      <w:pPr>
        <w:spacing w:line="240" w:lineRule="auto"/>
        <w:rPr>
          <w:b/>
          <w:bCs/>
          <w:color w:val="000000"/>
          <w:u w:val="single"/>
        </w:rPr>
      </w:pPr>
      <w:hyperlink r:id="rId11" w:history="1">
        <w:r w:rsidRPr="00357F67">
          <w:rPr>
            <w:rStyle w:val="Hyperlink"/>
            <w:b/>
            <w:bCs/>
            <w:color w:val="000000"/>
            <w:u w:val="single"/>
          </w:rPr>
          <w:t>Link YouTube</w:t>
        </w:r>
        <w:r w:rsidRPr="00357F67">
          <w:rPr>
            <w:rStyle w:val="Hyperlink"/>
            <w:b/>
            <w:bCs/>
            <w:color w:val="000000"/>
            <w:u w:val="single"/>
          </w:rPr>
          <w:t xml:space="preserve"> </w:t>
        </w:r>
        <w:r w:rsidRPr="00357F67">
          <w:rPr>
            <w:rStyle w:val="Hyperlink"/>
            <w:b/>
            <w:bCs/>
            <w:color w:val="000000"/>
            <w:u w:val="single"/>
          </w:rPr>
          <w:t>Video</w:t>
        </w:r>
      </w:hyperlink>
    </w:p>
    <w:p w14:paraId="30432AA7" w14:textId="13E7AB9F" w:rsidR="00457550" w:rsidRDefault="00457550" w:rsidP="009C3A01">
      <w:pPr>
        <w:spacing w:line="240" w:lineRule="auto"/>
        <w:rPr>
          <w:b/>
          <w:bCs/>
          <w:color w:val="000000"/>
          <w:sz w:val="18"/>
          <w:szCs w:val="18"/>
        </w:rPr>
      </w:pPr>
      <w:bookmarkStart w:id="1" w:name="_GoBack"/>
      <w:bookmarkEnd w:id="1"/>
    </w:p>
    <w:p w14:paraId="671A4FD2" w14:textId="5E52C684" w:rsidR="00457550" w:rsidRDefault="00457550" w:rsidP="009C3A01">
      <w:pPr>
        <w:spacing w:line="240" w:lineRule="auto"/>
        <w:rPr>
          <w:b/>
          <w:bCs/>
          <w:color w:val="000000"/>
          <w:sz w:val="18"/>
          <w:szCs w:val="18"/>
        </w:rPr>
      </w:pPr>
    </w:p>
    <w:p w14:paraId="619FDA26" w14:textId="1B993FBB" w:rsidR="00457550" w:rsidRDefault="00457550" w:rsidP="009C3A01">
      <w:pPr>
        <w:spacing w:line="240" w:lineRule="auto"/>
        <w:rPr>
          <w:b/>
          <w:bCs/>
          <w:color w:val="000000"/>
          <w:sz w:val="18"/>
          <w:szCs w:val="18"/>
        </w:rPr>
      </w:pPr>
    </w:p>
    <w:p w14:paraId="01CA36B0" w14:textId="724E2922" w:rsidR="00457550" w:rsidRDefault="00457550" w:rsidP="009C3A01">
      <w:pPr>
        <w:spacing w:line="240" w:lineRule="auto"/>
        <w:rPr>
          <w:b/>
          <w:bCs/>
          <w:color w:val="000000"/>
          <w:sz w:val="18"/>
          <w:szCs w:val="18"/>
        </w:rPr>
      </w:pPr>
    </w:p>
    <w:p w14:paraId="3F13D495" w14:textId="583B7423" w:rsidR="00457550" w:rsidRDefault="00457550" w:rsidP="009C3A01">
      <w:pPr>
        <w:spacing w:line="240" w:lineRule="auto"/>
        <w:rPr>
          <w:b/>
          <w:bCs/>
          <w:color w:val="000000"/>
          <w:sz w:val="18"/>
          <w:szCs w:val="18"/>
        </w:rPr>
      </w:pPr>
    </w:p>
    <w:p w14:paraId="0404FC8E" w14:textId="6CCC7239" w:rsidR="00457550" w:rsidRDefault="00457550" w:rsidP="009C3A01">
      <w:pPr>
        <w:spacing w:line="240" w:lineRule="auto"/>
        <w:rPr>
          <w:b/>
          <w:bCs/>
          <w:color w:val="000000"/>
          <w:sz w:val="18"/>
          <w:szCs w:val="18"/>
        </w:rPr>
      </w:pPr>
    </w:p>
    <w:p w14:paraId="5E11E64A" w14:textId="75B04F6C" w:rsidR="00457550" w:rsidRDefault="00457550" w:rsidP="009C3A01">
      <w:pPr>
        <w:spacing w:line="240" w:lineRule="auto"/>
        <w:rPr>
          <w:b/>
          <w:bCs/>
          <w:color w:val="000000"/>
          <w:sz w:val="18"/>
          <w:szCs w:val="18"/>
        </w:rPr>
      </w:pPr>
    </w:p>
    <w:p w14:paraId="309DAB1E" w14:textId="5CA1FAEE" w:rsidR="00457550" w:rsidRDefault="00457550" w:rsidP="009C3A01">
      <w:pPr>
        <w:spacing w:line="240" w:lineRule="auto"/>
        <w:rPr>
          <w:b/>
          <w:bCs/>
          <w:color w:val="000000"/>
          <w:sz w:val="18"/>
          <w:szCs w:val="18"/>
        </w:rPr>
      </w:pPr>
    </w:p>
    <w:p w14:paraId="4B2FABEB" w14:textId="77777777" w:rsidR="00457550" w:rsidRDefault="00457550" w:rsidP="009C3A01">
      <w:pPr>
        <w:spacing w:line="240" w:lineRule="auto"/>
        <w:rPr>
          <w:b/>
          <w:bCs/>
          <w:color w:val="000000"/>
          <w:sz w:val="18"/>
          <w:szCs w:val="18"/>
        </w:rPr>
      </w:pPr>
    </w:p>
    <w:p w14:paraId="6D120099" w14:textId="75975F4B" w:rsidR="00A525CB" w:rsidRPr="009C3A01" w:rsidRDefault="00A525CB" w:rsidP="009C3A01">
      <w:pPr>
        <w:spacing w:line="240" w:lineRule="auto"/>
        <w:rPr>
          <w:b/>
          <w:bCs/>
          <w:color w:val="000000"/>
          <w:sz w:val="18"/>
          <w:szCs w:val="18"/>
        </w:rPr>
      </w:pPr>
      <w:r>
        <w:rPr>
          <w:b/>
          <w:bCs/>
          <w:color w:val="000000"/>
          <w:sz w:val="18"/>
          <w:szCs w:val="18"/>
        </w:rPr>
        <w:t xml:space="preserve">Company information </w:t>
      </w:r>
    </w:p>
    <w:p w14:paraId="34C260CE" w14:textId="755B6395"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200898E7" w14:textId="619460AC" w:rsidR="00A525CB" w:rsidRDefault="00A525CB" w:rsidP="00A525CB">
      <w:pPr>
        <w:spacing w:line="220" w:lineRule="exact"/>
        <w:rPr>
          <w:sz w:val="18"/>
          <w:szCs w:val="18"/>
        </w:rPr>
      </w:pPr>
    </w:p>
    <w:p w14:paraId="41B7C883" w14:textId="77777777" w:rsidR="009A7CFD" w:rsidRDefault="009A7CFD" w:rsidP="00A525CB">
      <w:pPr>
        <w:spacing w:line="220" w:lineRule="exact"/>
        <w:outlineLvl w:val="0"/>
        <w:rPr>
          <w:b/>
          <w:bCs/>
          <w:color w:val="000000"/>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1F03"/>
    <w:rsid w:val="006C34CB"/>
    <w:rsid w:val="006C6EA8"/>
    <w:rsid w:val="006D601A"/>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117F"/>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60C1"/>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AVnG9RBBU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200826_Apex EN, Acquisition, Porocel </Description0>
    <DocumentTitle xmlns="3900a7cd-735b-4f56-a6f4-08d139dd6cc3">200826_Apex 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purl.org/dc/terms/"/>
    <ds:schemaRef ds:uri="http://schemas.openxmlformats.org/package/2006/metadata/core-properties"/>
    <ds:schemaRef ds:uri="http://purl.org/dc/dcmitype/"/>
    <ds:schemaRef ds:uri="efc54ee6-4a5a-4e1c-aa1a-8ea26becada8"/>
    <ds:schemaRef ds:uri="50f88236-7816-4a28-a198-9a124b78765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9F10A8F-2A86-4719-840B-0AA1831597C5}"/>
</file>

<file path=customXml/itemProps3.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4.xml><?xml version="1.0" encoding="utf-8"?>
<ds:datastoreItem xmlns:ds="http://schemas.openxmlformats.org/officeDocument/2006/customXml" ds:itemID="{30DAAD79-BC1B-42E4-8D3F-A87DE7E8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A608938C</Template>
  <TotalTime>0</TotalTime>
  <Pages>3</Pages>
  <Words>794</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5569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8</cp:revision>
  <cp:lastPrinted>2020-08-26T05:50:00Z</cp:lastPrinted>
  <dcterms:created xsi:type="dcterms:W3CDTF">2020-08-25T13:17:00Z</dcterms:created>
  <dcterms:modified xsi:type="dcterms:W3CDTF">2020-08-26T05:51:00Z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