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F40D36B" w14:textId="77777777" w:rsidTr="002159BA">
        <w:trPr>
          <w:trHeight w:val="851"/>
        </w:trPr>
        <w:tc>
          <w:tcPr>
            <w:tcW w:w="2552" w:type="dxa"/>
            <w:shd w:val="clear" w:color="auto" w:fill="auto"/>
          </w:tcPr>
          <w:p w14:paraId="07869752" w14:textId="77777777" w:rsidR="00B2793B" w:rsidRPr="0047761E" w:rsidRDefault="00B2793B" w:rsidP="00B2793B">
            <w:pPr>
              <w:pStyle w:val="M8"/>
              <w:framePr w:wrap="auto" w:vAnchor="margin" w:hAnchor="text" w:xAlign="left" w:yAlign="inline"/>
              <w:suppressOverlap w:val="0"/>
              <w:rPr>
                <w:sz w:val="18"/>
                <w:szCs w:val="18"/>
              </w:rPr>
            </w:pPr>
            <w:bookmarkStart w:id="0" w:name="_GoBack"/>
            <w:bookmarkEnd w:id="0"/>
            <w:r>
              <w:rPr>
                <w:sz w:val="18"/>
                <w:szCs w:val="18"/>
              </w:rPr>
              <w:t>5. November 2019</w:t>
            </w:r>
          </w:p>
          <w:p w14:paraId="6F40D363" w14:textId="77777777" w:rsidR="000B1B97" w:rsidRDefault="000B1B97" w:rsidP="000B1B97">
            <w:pPr>
              <w:pStyle w:val="M8"/>
              <w:framePr w:wrap="auto" w:vAnchor="margin" w:hAnchor="text" w:xAlign="left" w:yAlign="inline"/>
              <w:suppressOverlap w:val="0"/>
              <w:rPr>
                <w:b/>
              </w:rPr>
            </w:pPr>
          </w:p>
          <w:p w14:paraId="6F40D364" w14:textId="77777777" w:rsidR="000B1B97" w:rsidRDefault="000B1B97" w:rsidP="000B1B97">
            <w:pPr>
              <w:pStyle w:val="M8"/>
              <w:framePr w:wrap="auto" w:vAnchor="margin" w:hAnchor="text" w:xAlign="left" w:yAlign="inline"/>
              <w:suppressOverlap w:val="0"/>
              <w:rPr>
                <w:b/>
              </w:rPr>
            </w:pPr>
          </w:p>
          <w:p w14:paraId="27666BDB" w14:textId="2BFD537F" w:rsidR="00492794" w:rsidRPr="00BA092A" w:rsidRDefault="000B1B97" w:rsidP="00492794">
            <w:pPr>
              <w:spacing w:line="180" w:lineRule="exact"/>
              <w:rPr>
                <w:b/>
                <w:noProof/>
                <w:sz w:val="13"/>
                <w:szCs w:val="13"/>
              </w:rPr>
            </w:pPr>
            <w:r w:rsidRPr="001F2C0A">
              <w:rPr>
                <w:b/>
              </w:rPr>
              <w:br/>
            </w:r>
            <w:r w:rsidR="00492794" w:rsidRPr="00BA092A">
              <w:rPr>
                <w:b/>
                <w:noProof/>
                <w:sz w:val="13"/>
                <w:szCs w:val="13"/>
              </w:rPr>
              <w:t>Tim Lange</w:t>
            </w:r>
          </w:p>
          <w:p w14:paraId="1F447E69" w14:textId="77777777" w:rsidR="00492794" w:rsidRPr="00BA092A" w:rsidRDefault="00492794" w:rsidP="00492794">
            <w:pPr>
              <w:spacing w:line="180" w:lineRule="exact"/>
              <w:rPr>
                <w:noProof/>
                <w:sz w:val="13"/>
                <w:szCs w:val="13"/>
              </w:rPr>
            </w:pPr>
            <w:r w:rsidRPr="00BA092A">
              <w:rPr>
                <w:noProof/>
                <w:sz w:val="13"/>
                <w:szCs w:val="13"/>
              </w:rPr>
              <w:t>Leiter Investor Relations</w:t>
            </w:r>
          </w:p>
          <w:p w14:paraId="21B2516C" w14:textId="77777777" w:rsidR="00492794" w:rsidRPr="00545784" w:rsidRDefault="00492794" w:rsidP="00492794">
            <w:pPr>
              <w:spacing w:line="180" w:lineRule="exact"/>
              <w:rPr>
                <w:noProof/>
                <w:sz w:val="13"/>
                <w:szCs w:val="13"/>
              </w:rPr>
            </w:pPr>
            <w:r>
              <w:rPr>
                <w:noProof/>
                <w:sz w:val="13"/>
                <w:szCs w:val="13"/>
              </w:rPr>
              <w:t>Telefon</w:t>
            </w:r>
            <w:r w:rsidRPr="00545784">
              <w:rPr>
                <w:noProof/>
                <w:sz w:val="13"/>
                <w:szCs w:val="13"/>
              </w:rPr>
              <w:t xml:space="preserve">  +49 201 177-3150</w:t>
            </w:r>
          </w:p>
          <w:p w14:paraId="50EA5674" w14:textId="77777777" w:rsidR="00492794" w:rsidRPr="000F448A" w:rsidRDefault="00492794" w:rsidP="00492794">
            <w:pPr>
              <w:pStyle w:val="M7"/>
              <w:framePr w:wrap="auto" w:vAnchor="margin" w:hAnchor="text" w:xAlign="left" w:yAlign="inline"/>
              <w:suppressOverlap w:val="0"/>
              <w:rPr>
                <w:b w:val="0"/>
              </w:rPr>
            </w:pPr>
            <w:r w:rsidRPr="000F448A">
              <w:rPr>
                <w:b w:val="0"/>
                <w:noProof/>
                <w:szCs w:val="13"/>
              </w:rPr>
              <w:t>tim.lange@evonik.com</w:t>
            </w:r>
          </w:p>
          <w:p w14:paraId="6F40D36A" w14:textId="7E9B5059" w:rsidR="000B1B97" w:rsidRDefault="000B1B97" w:rsidP="000B1B97">
            <w:pPr>
              <w:pStyle w:val="M10"/>
              <w:framePr w:wrap="auto" w:vAnchor="margin" w:hAnchor="text" w:xAlign="left" w:yAlign="inline"/>
              <w:suppressOverlap w:val="0"/>
            </w:pPr>
          </w:p>
        </w:tc>
      </w:tr>
      <w:tr w:rsidR="000B1B97" w:rsidRPr="00344D49" w14:paraId="6F40D36E" w14:textId="77777777" w:rsidTr="002159BA">
        <w:trPr>
          <w:trHeight w:val="851"/>
        </w:trPr>
        <w:tc>
          <w:tcPr>
            <w:tcW w:w="2552" w:type="dxa"/>
            <w:shd w:val="clear" w:color="auto" w:fill="auto"/>
          </w:tcPr>
          <w:p w14:paraId="6F40D36C" w14:textId="77777777" w:rsidR="000B1B97" w:rsidRDefault="000B1B97" w:rsidP="000B1B97">
            <w:pPr>
              <w:pStyle w:val="M1"/>
              <w:framePr w:wrap="auto" w:vAnchor="margin" w:hAnchor="text" w:xAlign="left" w:yAlign="inline"/>
              <w:suppressOverlap w:val="0"/>
            </w:pPr>
          </w:p>
          <w:p w14:paraId="6F40D36D" w14:textId="77777777" w:rsidR="000B1B97" w:rsidRDefault="000B1B97" w:rsidP="00110640">
            <w:pPr>
              <w:pStyle w:val="M10"/>
              <w:framePr w:wrap="auto" w:vAnchor="margin" w:hAnchor="text" w:xAlign="left" w:yAlign="inline"/>
              <w:suppressOverlap w:val="0"/>
            </w:pPr>
          </w:p>
        </w:tc>
      </w:tr>
    </w:tbl>
    <w:p w14:paraId="6F40D36F"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6F40D37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6F40D37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6F40D37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6F40D373"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F40D374"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F40D375" w14:textId="77777777" w:rsidR="00D333AA" w:rsidRDefault="00D333AA" w:rsidP="009577A8">
      <w:pPr>
        <w:framePr w:w="2821" w:wrap="around" w:vAnchor="page" w:hAnchor="page" w:x="8821" w:y="12433" w:anchorLock="1"/>
        <w:spacing w:line="180" w:lineRule="exact"/>
        <w:rPr>
          <w:noProof/>
          <w:sz w:val="13"/>
          <w:szCs w:val="13"/>
        </w:rPr>
      </w:pPr>
    </w:p>
    <w:p w14:paraId="6F40D376" w14:textId="77777777" w:rsidR="00276C89" w:rsidRPr="00A93791" w:rsidRDefault="009577A8" w:rsidP="009577A8">
      <w:pPr>
        <w:framePr w:w="2821" w:wrap="around" w:vAnchor="page" w:hAnchor="page" w:x="8821" w:y="12433" w:anchorLock="1"/>
        <w:spacing w:line="180" w:lineRule="exact"/>
        <w:rPr>
          <w:noProof/>
          <w:sz w:val="13"/>
          <w:szCs w:val="13"/>
        </w:rPr>
      </w:pPr>
      <w:r w:rsidRPr="00380FC8">
        <w:rPr>
          <w:b/>
          <w:noProof/>
          <w:sz w:val="13"/>
          <w:szCs w:val="13"/>
        </w:rPr>
        <w:t>Aufsichtsrat</w:t>
      </w:r>
      <w:r w:rsidRPr="004C28A5">
        <w:rPr>
          <w:noProof/>
          <w:sz w:val="13"/>
          <w:szCs w:val="13"/>
        </w:rPr>
        <w:br/>
        <w:t>Bernd Tönjes, Vorsitzender</w:t>
      </w:r>
      <w:r w:rsidRPr="004C28A5">
        <w:rPr>
          <w:noProof/>
          <w:sz w:val="13"/>
          <w:szCs w:val="13"/>
        </w:rPr>
        <w:br/>
      </w:r>
      <w:r w:rsidRPr="00380FC8">
        <w:rPr>
          <w:b/>
          <w:noProof/>
          <w:sz w:val="13"/>
          <w:szCs w:val="13"/>
        </w:rP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6F40D377" w14:textId="77777777" w:rsidR="00276C89" w:rsidRDefault="00276C89" w:rsidP="009577A8">
      <w:pPr>
        <w:framePr w:w="2821" w:wrap="around" w:vAnchor="page" w:hAnchor="page" w:x="8821" w:y="12433" w:anchorLock="1"/>
        <w:spacing w:line="180" w:lineRule="exact"/>
        <w:rPr>
          <w:noProof/>
          <w:sz w:val="13"/>
          <w:szCs w:val="13"/>
        </w:rPr>
      </w:pPr>
    </w:p>
    <w:p w14:paraId="6F40D37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6F40D37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6F40D37A"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69AAEDC" w14:textId="2E3714ED" w:rsidR="00837682" w:rsidRDefault="00837682" w:rsidP="00837682">
      <w:pPr>
        <w:pStyle w:val="Titel"/>
      </w:pPr>
      <w:r>
        <w:t>Sendesperrfrist: 5. November 2019, 07:00 Uhr MEZ</w:t>
      </w:r>
    </w:p>
    <w:p w14:paraId="06936BAB" w14:textId="77777777" w:rsidR="00507C09" w:rsidRDefault="00507C09" w:rsidP="00507C09">
      <w:pPr>
        <w:pStyle w:val="Titel"/>
        <w:rPr>
          <w:b w:val="0"/>
          <w:sz w:val="22"/>
          <w:szCs w:val="22"/>
          <w:u w:val="single"/>
        </w:rPr>
      </w:pPr>
    </w:p>
    <w:p w14:paraId="039CBF06" w14:textId="2F590EA4" w:rsidR="00507C09" w:rsidRPr="00E92679" w:rsidRDefault="00507C09" w:rsidP="00507C09">
      <w:pPr>
        <w:pStyle w:val="Titel"/>
        <w:rPr>
          <w:b w:val="0"/>
          <w:sz w:val="22"/>
          <w:szCs w:val="22"/>
          <w:u w:val="single"/>
        </w:rPr>
      </w:pPr>
      <w:r w:rsidRPr="004146DD">
        <w:rPr>
          <w:b w:val="0"/>
          <w:sz w:val="22"/>
          <w:szCs w:val="22"/>
          <w:u w:val="single"/>
        </w:rPr>
        <w:t xml:space="preserve">Wirtschaftliche Eckdaten: </w:t>
      </w:r>
      <w:r>
        <w:rPr>
          <w:b w:val="0"/>
          <w:sz w:val="22"/>
          <w:szCs w:val="22"/>
          <w:u w:val="single"/>
        </w:rPr>
        <w:t>3</w:t>
      </w:r>
      <w:r w:rsidRPr="004146DD">
        <w:rPr>
          <w:b w:val="0"/>
          <w:sz w:val="22"/>
          <w:szCs w:val="22"/>
          <w:u w:val="single"/>
        </w:rPr>
        <w:t>. Quartal 2019</w:t>
      </w:r>
    </w:p>
    <w:p w14:paraId="122A80D2" w14:textId="77777777" w:rsidR="00507C09" w:rsidRDefault="00507C09" w:rsidP="00837682">
      <w:pPr>
        <w:pStyle w:val="Titel"/>
        <w:rPr>
          <w:b w:val="0"/>
          <w:sz w:val="22"/>
          <w:szCs w:val="22"/>
          <w:u w:val="single"/>
        </w:rPr>
      </w:pPr>
    </w:p>
    <w:p w14:paraId="150AB3A6" w14:textId="77777777" w:rsidR="00837682" w:rsidRDefault="00837682" w:rsidP="0006177F">
      <w:pPr>
        <w:pStyle w:val="Titel"/>
      </w:pPr>
    </w:p>
    <w:p w14:paraId="459B7B1C" w14:textId="77777777" w:rsidR="001A4962" w:rsidRDefault="001A4962" w:rsidP="001A4962">
      <w:pPr>
        <w:pStyle w:val="Titel"/>
      </w:pPr>
      <w:r>
        <w:t>Evonik bekräftigt Ergebnisziel für 2019 trotz anhaltend schwacher Weltwirtschaft</w:t>
      </w:r>
    </w:p>
    <w:p w14:paraId="6F40D37C" w14:textId="77777777" w:rsidR="00C421AD" w:rsidRPr="0006177F" w:rsidRDefault="00C421AD" w:rsidP="0006177F">
      <w:pPr>
        <w:pStyle w:val="Titel"/>
      </w:pPr>
    </w:p>
    <w:p w14:paraId="78326882" w14:textId="77777777" w:rsidR="0007153D" w:rsidRPr="00F173B5" w:rsidRDefault="0007153D" w:rsidP="0007153D">
      <w:pPr>
        <w:numPr>
          <w:ilvl w:val="0"/>
          <w:numId w:val="32"/>
        </w:numPr>
        <w:tabs>
          <w:tab w:val="clear" w:pos="1425"/>
          <w:tab w:val="num" w:pos="340"/>
        </w:tabs>
        <w:ind w:left="340" w:right="-87" w:hanging="340"/>
        <w:rPr>
          <w:rFonts w:cs="Lucida Sans Unicode"/>
          <w:sz w:val="24"/>
        </w:rPr>
      </w:pPr>
      <w:r>
        <w:rPr>
          <w:sz w:val="24"/>
        </w:rPr>
        <w:t>2019: B</w:t>
      </w:r>
      <w:r w:rsidRPr="00F173B5">
        <w:rPr>
          <w:sz w:val="24"/>
        </w:rPr>
        <w:t>ereinigte</w:t>
      </w:r>
      <w:r>
        <w:rPr>
          <w:sz w:val="24"/>
        </w:rPr>
        <w:t>s</w:t>
      </w:r>
      <w:r w:rsidRPr="00F173B5">
        <w:rPr>
          <w:sz w:val="24"/>
        </w:rPr>
        <w:t xml:space="preserve"> EBITDA mindestens auf Vorjahresniveau</w:t>
      </w:r>
    </w:p>
    <w:p w14:paraId="5F56993C" w14:textId="77777777" w:rsidR="007A4A20" w:rsidRPr="00E92679" w:rsidRDefault="007A4A20" w:rsidP="007A4A20">
      <w:pPr>
        <w:numPr>
          <w:ilvl w:val="0"/>
          <w:numId w:val="32"/>
        </w:numPr>
        <w:tabs>
          <w:tab w:val="clear" w:pos="1425"/>
          <w:tab w:val="num" w:pos="340"/>
        </w:tabs>
        <w:ind w:left="340" w:right="85" w:hanging="340"/>
        <w:rPr>
          <w:rFonts w:cs="Lucida Sans Unicode"/>
          <w:sz w:val="24"/>
        </w:rPr>
      </w:pPr>
      <w:r>
        <w:rPr>
          <w:rFonts w:cs="Lucida Sans Unicode"/>
          <w:sz w:val="24"/>
        </w:rPr>
        <w:t>Free-Cashflow-Ausblick für Gesamtjahr bestätigt und konkretisiert: rund 700 Millionen Euro</w:t>
      </w:r>
    </w:p>
    <w:p w14:paraId="4C0BDC96" w14:textId="77777777" w:rsidR="00291827" w:rsidRPr="00AF523D" w:rsidRDefault="00291827" w:rsidP="00291827">
      <w:pPr>
        <w:numPr>
          <w:ilvl w:val="0"/>
          <w:numId w:val="32"/>
        </w:numPr>
        <w:tabs>
          <w:tab w:val="clear" w:pos="1425"/>
          <w:tab w:val="num" w:pos="340"/>
        </w:tabs>
        <w:ind w:left="340" w:right="85" w:hanging="340"/>
        <w:rPr>
          <w:rFonts w:cs="Lucida Sans Unicode"/>
          <w:sz w:val="24"/>
        </w:rPr>
      </w:pPr>
      <w:r>
        <w:rPr>
          <w:sz w:val="24"/>
        </w:rPr>
        <w:t xml:space="preserve">Q3: </w:t>
      </w:r>
      <w:r w:rsidRPr="00F173B5">
        <w:rPr>
          <w:sz w:val="24"/>
        </w:rPr>
        <w:t xml:space="preserve">Umsatz und </w:t>
      </w:r>
      <w:r>
        <w:rPr>
          <w:sz w:val="24"/>
        </w:rPr>
        <w:t xml:space="preserve">operatives </w:t>
      </w:r>
      <w:r w:rsidRPr="00F173B5">
        <w:rPr>
          <w:sz w:val="24"/>
        </w:rPr>
        <w:t>Ergebnis unter Vorjahr</w:t>
      </w:r>
    </w:p>
    <w:p w14:paraId="17E959F0" w14:textId="77777777" w:rsidR="00806951" w:rsidRPr="00AF523D" w:rsidRDefault="00806951" w:rsidP="00806951">
      <w:pPr>
        <w:numPr>
          <w:ilvl w:val="0"/>
          <w:numId w:val="32"/>
        </w:numPr>
        <w:tabs>
          <w:tab w:val="clear" w:pos="1425"/>
          <w:tab w:val="num" w:pos="340"/>
        </w:tabs>
        <w:ind w:left="340" w:right="85" w:hanging="340"/>
        <w:rPr>
          <w:rFonts w:cs="Lucida Sans Unicode"/>
          <w:sz w:val="24"/>
        </w:rPr>
      </w:pPr>
      <w:r>
        <w:rPr>
          <w:rFonts w:cs="Lucida Sans Unicode"/>
          <w:sz w:val="24"/>
        </w:rPr>
        <w:t>Erhöhte Kostendisziplin stützt Ergebnisniveau</w:t>
      </w:r>
    </w:p>
    <w:p w14:paraId="6F40D380" w14:textId="77777777" w:rsidR="00C421AD" w:rsidRDefault="00C421AD" w:rsidP="0006177F"/>
    <w:p w14:paraId="6F40D381" w14:textId="77777777" w:rsidR="0006177F" w:rsidRPr="0084389E" w:rsidRDefault="0006177F" w:rsidP="0006177F">
      <w:pPr>
        <w:tabs>
          <w:tab w:val="left" w:pos="990"/>
        </w:tabs>
      </w:pPr>
    </w:p>
    <w:p w14:paraId="743596C7" w14:textId="77777777" w:rsidR="00BB1628" w:rsidRDefault="00BB1628" w:rsidP="00BB1628">
      <w:r>
        <w:t xml:space="preserve">Essen. Evonik bestätigt trotz anhaltend schwacher Weltwirtschaft die Ergebnisprognose für das Gesamtjahr. </w:t>
      </w:r>
      <w:r w:rsidRPr="005720D4">
        <w:t>Der Konzern erwartet</w:t>
      </w:r>
      <w:r>
        <w:t xml:space="preserve"> daher weiterhin ein</w:t>
      </w:r>
      <w:r w:rsidRPr="005720D4">
        <w:t xml:space="preserve"> bereinigtes EBITDA mindestens auf Höhe des Vorjahres.</w:t>
      </w:r>
      <w:r>
        <w:t xml:space="preserve"> Der Umsatz wird aufgrund der geringeren Mengennachfrage nun leicht unter Vorjahr erwartet. Bisher war Evonik von einem stabilen Umsatz ausgegangen. Im Geschäftsjahr 2018 hatte Evonik – ohne das mittlerweile verkaufte </w:t>
      </w:r>
      <w:proofErr w:type="spellStart"/>
      <w:r>
        <w:t>Methacrylat</w:t>
      </w:r>
      <w:proofErr w:type="spellEnd"/>
      <w:r>
        <w:t>-Geschäft - einen Umsatz von 13,3 Milliarden Euro und ein bereinigtes EBITDA von 2,15 Milliarden Euro erwirtschaftet.</w:t>
      </w:r>
    </w:p>
    <w:p w14:paraId="46E6500C" w14:textId="77777777" w:rsidR="00BB1628" w:rsidRDefault="00BB1628" w:rsidP="00BB1628"/>
    <w:p w14:paraId="0C99AAAA" w14:textId="77777777" w:rsidR="00BB1628" w:rsidRDefault="00BB1628" w:rsidP="00BB1628">
      <w:pPr>
        <w:rPr>
          <w:color w:val="000000" w:themeColor="text1"/>
        </w:rPr>
      </w:pPr>
      <w:r>
        <w:t xml:space="preserve">„Wir haben uns frühzeitig mit erhöhter Kostendisziplin und zusätzlichen Einsparmaßnahmen für das schwächere gesamtwirtschaftliche Umfeld </w:t>
      </w:r>
      <w:r>
        <w:rPr>
          <w:color w:val="000000" w:themeColor="text1"/>
        </w:rPr>
        <w:t xml:space="preserve">gerüstet“, </w:t>
      </w:r>
      <w:r w:rsidRPr="005720D4">
        <w:rPr>
          <w:color w:val="000000" w:themeColor="text1"/>
        </w:rPr>
        <w:t>sagt Christian Kullmann, Vorstandsvorsitzender von Evonik</w:t>
      </w:r>
      <w:r w:rsidRPr="00A601C3">
        <w:rPr>
          <w:color w:val="000000" w:themeColor="text1"/>
        </w:rPr>
        <w:t>. „</w:t>
      </w:r>
      <w:r>
        <w:rPr>
          <w:color w:val="000000" w:themeColor="text1"/>
        </w:rPr>
        <w:t>Wir gehen da sehr konsequent vor, um das</w:t>
      </w:r>
      <w:r w:rsidRPr="00A601C3">
        <w:rPr>
          <w:color w:val="000000" w:themeColor="text1"/>
        </w:rPr>
        <w:t xml:space="preserve"> </w:t>
      </w:r>
      <w:r>
        <w:rPr>
          <w:color w:val="000000" w:themeColor="text1"/>
        </w:rPr>
        <w:t>Jahresergebnis</w:t>
      </w:r>
      <w:r w:rsidRPr="00A601C3">
        <w:rPr>
          <w:color w:val="000000" w:themeColor="text1"/>
        </w:rPr>
        <w:t xml:space="preserve"> </w:t>
      </w:r>
      <w:r>
        <w:rPr>
          <w:color w:val="000000" w:themeColor="text1"/>
        </w:rPr>
        <w:t>zu sichern</w:t>
      </w:r>
      <w:r w:rsidRPr="00A601C3">
        <w:rPr>
          <w:color w:val="000000" w:themeColor="text1"/>
        </w:rPr>
        <w:t>.“</w:t>
      </w:r>
    </w:p>
    <w:p w14:paraId="7E34E81D" w14:textId="77777777" w:rsidR="00BB1628" w:rsidRDefault="00BB1628" w:rsidP="00BB1628">
      <w:pPr>
        <w:rPr>
          <w:color w:val="000000" w:themeColor="text1"/>
        </w:rPr>
      </w:pPr>
    </w:p>
    <w:p w14:paraId="4EB98EC1" w14:textId="1EEE8C99" w:rsidR="00BB1628" w:rsidRDefault="00BB1628" w:rsidP="00BB1628">
      <w:pPr>
        <w:rPr>
          <w:color w:val="000000" w:themeColor="text1"/>
        </w:rPr>
      </w:pPr>
      <w:r>
        <w:rPr>
          <w:color w:val="000000" w:themeColor="text1"/>
        </w:rPr>
        <w:t xml:space="preserve">Das 2018 gestartete Effizienzprogramm zur Senkung von Vertriebs- und Verwaltungskosten um jährlich 200 Millionen Euro wird beschleunigt. Bis Ende dieses Jahr werden davon bereits </w:t>
      </w:r>
      <w:r>
        <w:rPr>
          <w:color w:val="000000" w:themeColor="text1"/>
        </w:rPr>
        <w:br/>
        <w:t>120 Millionen Euro erreicht, 20 Millionen Euro mehr als ursprünglich</w:t>
      </w:r>
      <w:r w:rsidRPr="00745655">
        <w:rPr>
          <w:color w:val="000000" w:themeColor="text1"/>
        </w:rPr>
        <w:t xml:space="preserve"> </w:t>
      </w:r>
      <w:r>
        <w:rPr>
          <w:color w:val="000000" w:themeColor="text1"/>
        </w:rPr>
        <w:t xml:space="preserve">geplant. Darüber hinaus tragen zusätzliche Maßnahmen, wie etwa die Zurückhaltung bei Neueinstellungen und der restriktive Umgang </w:t>
      </w:r>
      <w:r w:rsidR="00871D17">
        <w:rPr>
          <w:color w:val="000000" w:themeColor="text1"/>
        </w:rPr>
        <w:t>mit</w:t>
      </w:r>
      <w:r>
        <w:rPr>
          <w:color w:val="000000" w:themeColor="text1"/>
        </w:rPr>
        <w:t xml:space="preserve"> externen Kosten, im zweiten Halbjahr weitere 20 Millionen Euro bei.</w:t>
      </w:r>
    </w:p>
    <w:p w14:paraId="102EFBB8" w14:textId="5B7A8E7E" w:rsidR="00BB1628" w:rsidRPr="00381024" w:rsidRDefault="00BB1628" w:rsidP="00BB1628">
      <w:pPr>
        <w:rPr>
          <w:rFonts w:ascii="Calibri" w:hAnsi="Calibri"/>
          <w:szCs w:val="22"/>
        </w:rPr>
      </w:pPr>
      <w:bookmarkStart w:id="1" w:name="_Hlk23326936"/>
      <w:r>
        <w:lastRenderedPageBreak/>
        <w:t xml:space="preserve">„Beim Free-Cashflow konkretisiert Evonik den Ausblick für das Gesamtjahr und erwartet mit rund 700 Millionen Euro eine </w:t>
      </w:r>
      <w:r w:rsidR="000C4175">
        <w:t>deutliche</w:t>
      </w:r>
      <w:r>
        <w:t xml:space="preserve"> Erhöhung gegenüber dem Vorjahr. Maßgeblich für diese Verbesserung sind niedrigere Sachinvestitionen, ein geringerer Aufbau des Nettoumlaufvermögens sowie </w:t>
      </w:r>
      <w:r w:rsidRPr="00381024">
        <w:t xml:space="preserve">die teilweise </w:t>
      </w:r>
      <w:r>
        <w:t xml:space="preserve">Erstattung der Pensionsauszahlungen aus dem </w:t>
      </w:r>
      <w:proofErr w:type="spellStart"/>
      <w:r>
        <w:t>Contractual</w:t>
      </w:r>
      <w:proofErr w:type="spellEnd"/>
      <w:r>
        <w:t xml:space="preserve"> Trust Arrangement (CTA</w:t>
      </w:r>
      <w:r w:rsidRPr="00381024">
        <w:t xml:space="preserve">). Der konkretisierte Ausblick </w:t>
      </w:r>
      <w:r w:rsidRPr="00381024">
        <w:rPr>
          <w:bCs/>
        </w:rPr>
        <w:t>beinhaltet nicht die anfallenden</w:t>
      </w:r>
      <w:r w:rsidRPr="00381024">
        <w:t xml:space="preserve"> Steuerzahlungen aus dem Carve-out des veräußerten </w:t>
      </w:r>
      <w:proofErr w:type="spellStart"/>
      <w:r w:rsidRPr="00381024">
        <w:t>Methacrylatgeschäfts</w:t>
      </w:r>
      <w:proofErr w:type="spellEnd"/>
      <w:r w:rsidRPr="00381024">
        <w:t>.</w:t>
      </w:r>
    </w:p>
    <w:bookmarkEnd w:id="1"/>
    <w:p w14:paraId="757B8DAB" w14:textId="77777777" w:rsidR="00BB1628" w:rsidRDefault="00BB1628" w:rsidP="00BB1628">
      <w:pPr>
        <w:spacing w:before="100" w:beforeAutospacing="1" w:after="100" w:afterAutospacing="1"/>
      </w:pPr>
      <w:r>
        <w:t>Die weltweite konjunkturelle Abschwächung hat sich im dritten Quartal weiterhin auf das Geschäft von Evonik ausgewirkt. In den Monaten Juli bis September verringerten sich die Erlöse im Vergleich zum Vorjahresquartal um 3 Prozent auf 3,23 Milliarden Euro</w:t>
      </w:r>
      <w:r w:rsidRPr="00A601C3">
        <w:t xml:space="preserve">. </w:t>
      </w:r>
      <w:r>
        <w:t>Dies geht auf geringere Mengen und niedrigere Verkaufspreise zurück. D</w:t>
      </w:r>
      <w:r w:rsidRPr="00A601C3">
        <w:t xml:space="preserve">as bereinigte EBITDA </w:t>
      </w:r>
      <w:r>
        <w:t>fiel um 6</w:t>
      </w:r>
      <w:r w:rsidRPr="00A601C3">
        <w:t xml:space="preserve"> Prozent auf </w:t>
      </w:r>
      <w:r>
        <w:t>543</w:t>
      </w:r>
      <w:r w:rsidRPr="00A601C3">
        <w:t xml:space="preserve"> Millionen Euro.</w:t>
      </w:r>
      <w:r>
        <w:t xml:space="preserve"> </w:t>
      </w:r>
    </w:p>
    <w:p w14:paraId="5AF3A2CC" w14:textId="77777777" w:rsidR="00BB1628" w:rsidRPr="0045291B" w:rsidRDefault="00BB1628" w:rsidP="00BB1628">
      <w:pPr>
        <w:tabs>
          <w:tab w:val="left" w:pos="990"/>
        </w:tabs>
        <w:rPr>
          <w:b/>
        </w:rPr>
      </w:pPr>
      <w:r w:rsidRPr="0045291B">
        <w:rPr>
          <w:b/>
        </w:rPr>
        <w:t>Entwicklungen in den Segmenten</w:t>
      </w:r>
    </w:p>
    <w:p w14:paraId="4FB947F9" w14:textId="77777777" w:rsidR="00BB1628" w:rsidRDefault="00BB1628" w:rsidP="00BB1628">
      <w:r>
        <w:t xml:space="preserve"> </w:t>
      </w:r>
    </w:p>
    <w:p w14:paraId="120AE976" w14:textId="77777777" w:rsidR="00BB1628" w:rsidRDefault="00BB1628" w:rsidP="00BB1628">
      <w:proofErr w:type="spellStart"/>
      <w:r w:rsidRPr="00584503">
        <w:rPr>
          <w:b/>
        </w:rPr>
        <w:t>Resource</w:t>
      </w:r>
      <w:proofErr w:type="spellEnd"/>
      <w:r w:rsidRPr="00584503">
        <w:rPr>
          <w:b/>
        </w:rPr>
        <w:t xml:space="preserve"> Efficiency</w:t>
      </w:r>
      <w:r w:rsidRPr="00584503">
        <w:t xml:space="preserve">: </w:t>
      </w:r>
      <w:r>
        <w:t xml:space="preserve">Der Umsatz im Segment sank im dritten Quartal um 1 Prozent auf 1,4 Milliarden Euro. Die konjunkturelle Abschwächung im Automobil- und Coating-Sektor wirkte sich belastend auf das Geschäft mit Beschichtungsadditiven und Coating &amp; </w:t>
      </w:r>
      <w:proofErr w:type="spellStart"/>
      <w:r>
        <w:t>Adhesive</w:t>
      </w:r>
      <w:proofErr w:type="spellEnd"/>
      <w:r>
        <w:t xml:space="preserve"> </w:t>
      </w:r>
      <w:proofErr w:type="spellStart"/>
      <w:r>
        <w:t>Resins</w:t>
      </w:r>
      <w:proofErr w:type="spellEnd"/>
      <w:r>
        <w:t xml:space="preserve"> aus. Auch das Geschäft mit Kieselsäuren verzeichnete geringere Verkaufsmengen insbesondere in industrienahen Bereichen. Erfreulich dagegen verlief das Geschäft mit Hochleistungskunststoffen, das von einer soliden Nachfrage im 3D-Druck und bei Membranen profitierte. Der Bereich </w:t>
      </w:r>
      <w:proofErr w:type="spellStart"/>
      <w:r>
        <w:t>Crosslinkers</w:t>
      </w:r>
      <w:proofErr w:type="spellEnd"/>
      <w:r>
        <w:t xml:space="preserve"> profitierte von einer hohen Nachfrage aus der Windenergiebranche. Das bereinigte EBITDA von </w:t>
      </w:r>
      <w:proofErr w:type="spellStart"/>
      <w:r>
        <w:t>Resource</w:t>
      </w:r>
      <w:proofErr w:type="spellEnd"/>
      <w:r>
        <w:t xml:space="preserve"> Efficiency ging um 4 Prozent auf 322 Millionen Euro zurück.</w:t>
      </w:r>
    </w:p>
    <w:p w14:paraId="47AB0AB7" w14:textId="77777777" w:rsidR="00BB1628" w:rsidRPr="00584503" w:rsidRDefault="00BB1628" w:rsidP="00BB1628">
      <w:pPr>
        <w:rPr>
          <w:b/>
        </w:rPr>
      </w:pPr>
    </w:p>
    <w:p w14:paraId="07C6E6D3" w14:textId="40169102" w:rsidR="00BB1628" w:rsidRDefault="00BB1628" w:rsidP="00BB1628">
      <w:r w:rsidRPr="000B572A">
        <w:rPr>
          <w:b/>
        </w:rPr>
        <w:t>Nutrition &amp; Care</w:t>
      </w:r>
      <w:r w:rsidRPr="000B572A">
        <w:t xml:space="preserve">: Die Erlöse verringerten sich im </w:t>
      </w:r>
      <w:r>
        <w:t>dritten</w:t>
      </w:r>
      <w:r w:rsidRPr="000B572A">
        <w:t xml:space="preserve"> Quartal um </w:t>
      </w:r>
      <w:r>
        <w:t>2</w:t>
      </w:r>
      <w:r w:rsidRPr="000B572A">
        <w:t xml:space="preserve"> Prozent auf </w:t>
      </w:r>
      <w:r>
        <w:t>1,14</w:t>
      </w:r>
      <w:r w:rsidRPr="000B572A">
        <w:t xml:space="preserve"> Milliarden Euro. </w:t>
      </w:r>
      <w:r>
        <w:t xml:space="preserve">Bei einer hohen </w:t>
      </w:r>
      <w:r w:rsidRPr="000B572A">
        <w:t xml:space="preserve">Nachfrage nach essentiellen Aminosäuren zur Tierernährung </w:t>
      </w:r>
      <w:r>
        <w:t xml:space="preserve">gaben </w:t>
      </w:r>
      <w:r w:rsidRPr="000B572A">
        <w:t xml:space="preserve">die Verkaufspreise </w:t>
      </w:r>
      <w:r>
        <w:t>weiter nach</w:t>
      </w:r>
      <w:r w:rsidRPr="000B572A">
        <w:t xml:space="preserve">. </w:t>
      </w:r>
      <w:r>
        <w:t>Dagegen erhöhte sich der Umsatz des Health-Care-Geschäfts, insbesondere bei erfreulicher Entwicklung der Pharma</w:t>
      </w:r>
      <w:r w:rsidR="0000178E">
        <w:t>-</w:t>
      </w:r>
      <w:r>
        <w:t xml:space="preserve"> und Food</w:t>
      </w:r>
      <w:r w:rsidR="0000178E">
        <w:t>-</w:t>
      </w:r>
      <w:proofErr w:type="spellStart"/>
      <w:r>
        <w:t>Ingredients</w:t>
      </w:r>
      <w:proofErr w:type="spellEnd"/>
      <w:r>
        <w:t>. Die Additive für Polyurethanschäume konnten ihren Umsatz deutlich steigern, im</w:t>
      </w:r>
      <w:r w:rsidR="0000178E">
        <w:t xml:space="preserve"> </w:t>
      </w:r>
      <w:r>
        <w:lastRenderedPageBreak/>
        <w:t>Wesentlichen durch eine hohe Nachfrage aus den Märkten für langlebige Konsumgüter und Isolierung.</w:t>
      </w:r>
      <w:r w:rsidRPr="009B25D8">
        <w:t xml:space="preserve"> </w:t>
      </w:r>
      <w:r w:rsidRPr="000B572A">
        <w:t xml:space="preserve">Das bereinigte EBITDA des Segments fiel um </w:t>
      </w:r>
      <w:r>
        <w:t>11</w:t>
      </w:r>
      <w:r w:rsidRPr="000B572A">
        <w:t xml:space="preserve"> Prozent auf </w:t>
      </w:r>
      <w:r>
        <w:t>188</w:t>
      </w:r>
      <w:r w:rsidRPr="000B572A">
        <w:t xml:space="preserve"> Millionen Euro.</w:t>
      </w:r>
    </w:p>
    <w:p w14:paraId="7491E60B" w14:textId="77777777" w:rsidR="00BB1628" w:rsidRPr="000A7C2C" w:rsidRDefault="00BB1628" w:rsidP="00BB1628"/>
    <w:p w14:paraId="489A6B34" w14:textId="77777777" w:rsidR="0000178E" w:rsidRDefault="00BB1628" w:rsidP="00BB1628">
      <w:r w:rsidRPr="00A61D5F">
        <w:rPr>
          <w:b/>
        </w:rPr>
        <w:t>Performance Materials</w:t>
      </w:r>
      <w:r w:rsidRPr="00A61D5F">
        <w:t xml:space="preserve">: </w:t>
      </w:r>
      <w:r w:rsidRPr="00015918">
        <w:t xml:space="preserve">Der Umsatz ging im </w:t>
      </w:r>
      <w:r>
        <w:t>dritten</w:t>
      </w:r>
      <w:r w:rsidRPr="00015918">
        <w:t xml:space="preserve"> Quartal im Vergleich zum Vorjahreszeitraum um </w:t>
      </w:r>
      <w:r>
        <w:t>20</w:t>
      </w:r>
      <w:r w:rsidRPr="00015918">
        <w:t xml:space="preserve"> Prozent auf</w:t>
      </w:r>
    </w:p>
    <w:p w14:paraId="1C333972" w14:textId="76D85797" w:rsidR="00BB1628" w:rsidRDefault="00BB1628" w:rsidP="00BB1628">
      <w:r>
        <w:t xml:space="preserve">475 </w:t>
      </w:r>
      <w:r w:rsidRPr="00015918">
        <w:t>Millionen Euro zurück. Die Entwicklung bei den Performance Intermediates war durch ein niedriges Öl</w:t>
      </w:r>
      <w:r>
        <w:t xml:space="preserve">- bzw. </w:t>
      </w:r>
      <w:proofErr w:type="spellStart"/>
      <w:r>
        <w:t>Naphthap</w:t>
      </w:r>
      <w:r w:rsidRPr="00015918">
        <w:t>reisniveau</w:t>
      </w:r>
      <w:proofErr w:type="spellEnd"/>
      <w:r w:rsidRPr="00015918">
        <w:t xml:space="preserve"> sowie die leicht nachgebenden Verkaufspreise beeinträchtigt. </w:t>
      </w:r>
      <w:r w:rsidRPr="00015918">
        <w:rPr>
          <w:color w:val="000000" w:themeColor="text1"/>
        </w:rPr>
        <w:t>Eine anhaltend eingeschränkte Rohstoffversorgung sowie technische Probleme in den C4-Anlagen an den Standorten Marl und Antwerpen belasten das Ergebnis</w:t>
      </w:r>
      <w:r>
        <w:rPr>
          <w:color w:val="000000" w:themeColor="text1"/>
        </w:rPr>
        <w:t>.</w:t>
      </w:r>
      <w:r w:rsidRPr="00015918">
        <w:rPr>
          <w:color w:val="000000" w:themeColor="text1"/>
        </w:rPr>
        <w:t xml:space="preserve"> </w:t>
      </w:r>
      <w:r w:rsidRPr="00015918">
        <w:t xml:space="preserve">Bei den </w:t>
      </w:r>
      <w:proofErr w:type="spellStart"/>
      <w:r w:rsidRPr="00015918">
        <w:t>Functional</w:t>
      </w:r>
      <w:proofErr w:type="spellEnd"/>
      <w:r w:rsidRPr="00015918">
        <w:t xml:space="preserve"> Solutions verzeichneten die Alkoholate eine gute Entwicklung. Das bereinigte EBITDA des Segments sank um</w:t>
      </w:r>
      <w:r>
        <w:t xml:space="preserve"> 25</w:t>
      </w:r>
      <w:r w:rsidRPr="00015918">
        <w:t xml:space="preserve"> Prozent auf </w:t>
      </w:r>
      <w:r>
        <w:t>47</w:t>
      </w:r>
      <w:r w:rsidRPr="00015918">
        <w:t xml:space="preserve"> Millionen Euro.</w:t>
      </w:r>
    </w:p>
    <w:p w14:paraId="01533BC1" w14:textId="0CAFF43D" w:rsidR="0007589D" w:rsidRDefault="0007589D" w:rsidP="00BB1628"/>
    <w:p w14:paraId="260A07F5" w14:textId="5CF290C5" w:rsidR="0023452F" w:rsidRDefault="0023452F">
      <w:pPr>
        <w:spacing w:line="240" w:lineRule="auto"/>
      </w:pPr>
      <w:r>
        <w:br w:type="page"/>
      </w:r>
    </w:p>
    <w:p w14:paraId="60A8CCDA" w14:textId="3EB9B237" w:rsidR="0007589D" w:rsidRDefault="0023452F" w:rsidP="00BB1628">
      <w:r w:rsidRPr="0007589D">
        <w:rPr>
          <w:noProof/>
        </w:rPr>
        <w:lastRenderedPageBreak/>
        <w:drawing>
          <wp:anchor distT="0" distB="0" distL="114300" distR="114300" simplePos="0" relativeHeight="251658240" behindDoc="0" locked="0" layoutInCell="1" allowOverlap="1" wp14:anchorId="7D3CABD8" wp14:editId="4946D044">
            <wp:simplePos x="0" y="0"/>
            <wp:positionH relativeFrom="margin">
              <wp:posOffset>5715</wp:posOffset>
            </wp:positionH>
            <wp:positionV relativeFrom="paragraph">
              <wp:posOffset>-489585</wp:posOffset>
            </wp:positionV>
            <wp:extent cx="5880100" cy="249555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01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0D383" w14:textId="5977FBB6" w:rsidR="000B1B97" w:rsidRDefault="000B1B97" w:rsidP="0006177F"/>
    <w:p w14:paraId="6F40D384" w14:textId="3A363E4E" w:rsidR="000B1B97" w:rsidRDefault="000B1B97" w:rsidP="0006177F"/>
    <w:p w14:paraId="6F40D385" w14:textId="54D0D1E6" w:rsidR="000B1B97" w:rsidRDefault="000B1B97" w:rsidP="0006177F"/>
    <w:p w14:paraId="6F40D386" w14:textId="2C5FC5EA" w:rsidR="000B1B97" w:rsidRDefault="000B1B97" w:rsidP="0006177F"/>
    <w:p w14:paraId="6F40D387" w14:textId="33D098BA" w:rsidR="000B1B97" w:rsidRDefault="000B1B97" w:rsidP="0006177F"/>
    <w:p w14:paraId="6F40D388" w14:textId="1EF134FA" w:rsidR="000B1B97" w:rsidRDefault="000B1B97" w:rsidP="0006177F"/>
    <w:p w14:paraId="6F40D389" w14:textId="7C6BC798" w:rsidR="000B1B97" w:rsidRDefault="000B1B97" w:rsidP="0006177F"/>
    <w:p w14:paraId="6F40D38A" w14:textId="2A1DECB8" w:rsidR="000B1B97" w:rsidRDefault="000B1B97" w:rsidP="0006177F"/>
    <w:p w14:paraId="6F40D38B" w14:textId="410C2F2F" w:rsidR="00A82F9D" w:rsidRDefault="00A82F9D" w:rsidP="0006177F"/>
    <w:p w14:paraId="6F40D38C" w14:textId="79E5FE5C" w:rsidR="00A82F9D" w:rsidRDefault="00A82F9D" w:rsidP="0006177F"/>
    <w:p w14:paraId="7CD1C66E" w14:textId="0D687310" w:rsidR="0023452F" w:rsidRDefault="0023452F">
      <w:pPr>
        <w:spacing w:line="240" w:lineRule="auto"/>
      </w:pPr>
    </w:p>
    <w:p w14:paraId="0956A855" w14:textId="7B12E5FB" w:rsidR="0023452F" w:rsidRDefault="006E699F">
      <w:pPr>
        <w:spacing w:line="240" w:lineRule="auto"/>
      </w:pPr>
      <w:r w:rsidRPr="0023452F">
        <w:rPr>
          <w:noProof/>
        </w:rPr>
        <w:drawing>
          <wp:anchor distT="0" distB="0" distL="114300" distR="114300" simplePos="0" relativeHeight="251659264" behindDoc="0" locked="0" layoutInCell="1" allowOverlap="1" wp14:anchorId="2D452AF1" wp14:editId="14CA203C">
            <wp:simplePos x="0" y="0"/>
            <wp:positionH relativeFrom="margin">
              <wp:posOffset>-635</wp:posOffset>
            </wp:positionH>
            <wp:positionV relativeFrom="paragraph">
              <wp:posOffset>6985</wp:posOffset>
            </wp:positionV>
            <wp:extent cx="5878250" cy="2565400"/>
            <wp:effectExtent l="0" t="0" r="825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9570" cy="2565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A89BD" w14:textId="77777777" w:rsidR="0023452F" w:rsidRDefault="0023452F">
      <w:pPr>
        <w:spacing w:line="240" w:lineRule="auto"/>
      </w:pPr>
    </w:p>
    <w:p w14:paraId="6F40D38E" w14:textId="3CB090F4" w:rsidR="00D32AEC" w:rsidRPr="0000178E" w:rsidRDefault="0023452F" w:rsidP="0000178E">
      <w:pPr>
        <w:spacing w:line="240" w:lineRule="auto"/>
      </w:pPr>
      <w:r w:rsidRPr="0023452F">
        <w:rPr>
          <w:noProof/>
        </w:rPr>
        <w:drawing>
          <wp:anchor distT="0" distB="0" distL="114300" distR="114300" simplePos="0" relativeHeight="251660288" behindDoc="0" locked="0" layoutInCell="1" allowOverlap="1" wp14:anchorId="1E38AA0C" wp14:editId="52592F2C">
            <wp:simplePos x="0" y="0"/>
            <wp:positionH relativeFrom="margin">
              <wp:align>right</wp:align>
            </wp:positionH>
            <wp:positionV relativeFrom="paragraph">
              <wp:posOffset>2992755</wp:posOffset>
            </wp:positionV>
            <wp:extent cx="4535805" cy="152654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805" cy="1526540"/>
                    </a:xfrm>
                    <a:prstGeom prst="rect">
                      <a:avLst/>
                    </a:prstGeom>
                    <a:noFill/>
                    <a:ln>
                      <a:noFill/>
                    </a:ln>
                  </pic:spPr>
                </pic:pic>
              </a:graphicData>
            </a:graphic>
          </wp:anchor>
        </w:drawing>
      </w:r>
      <w:r>
        <w:br w:type="page"/>
      </w:r>
      <w:r w:rsidR="00D32AEC">
        <w:rPr>
          <w:rFonts w:cs="Lucida Sans Unicode"/>
          <w:b/>
          <w:bCs/>
          <w:sz w:val="18"/>
          <w:szCs w:val="18"/>
        </w:rPr>
        <w:lastRenderedPageBreak/>
        <w:t xml:space="preserve">Informationen zum Konzern </w:t>
      </w:r>
    </w:p>
    <w:p w14:paraId="6F40D38F" w14:textId="77777777" w:rsidR="00D32AEC" w:rsidRPr="004521DC" w:rsidRDefault="00D32AEC" w:rsidP="00D32AEC">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 xml:space="preserve">men in den </w:t>
      </w:r>
      <w:r>
        <w:rPr>
          <w:sz w:val="18"/>
          <w:szCs w:val="18"/>
        </w:rPr>
        <w:t>fortgeführten Aktivitäten</w:t>
      </w:r>
      <w:r>
        <w:rPr>
          <w:rFonts w:cs="Lucida Sans Unicode"/>
          <w:bCs/>
          <w:sz w:val="18"/>
          <w:szCs w:val="18"/>
        </w:rPr>
        <w:t xml:space="preserve"> mit mehr als 32</w:t>
      </w:r>
      <w:r w:rsidRPr="00BF457E">
        <w:rPr>
          <w:rFonts w:cs="Lucida Sans Unicode"/>
          <w:bCs/>
          <w:sz w:val="18"/>
          <w:szCs w:val="18"/>
        </w:rPr>
        <w:t xml:space="preserve">.000 Mitarbeitern </w:t>
      </w:r>
      <w:r>
        <w:rPr>
          <w:rFonts w:cs="Lucida Sans Unicode"/>
          <w:bCs/>
          <w:sz w:val="18"/>
          <w:szCs w:val="18"/>
        </w:rPr>
        <w:t>einen Umsatz von 13,3</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w:t>
      </w:r>
      <w:r>
        <w:rPr>
          <w:rFonts w:cs="Lucida Sans Unicode"/>
          <w:bCs/>
          <w:sz w:val="18"/>
          <w:szCs w:val="18"/>
        </w:rPr>
        <w:t xml:space="preserve">und </w:t>
      </w:r>
      <w:r w:rsidRPr="00BF457E">
        <w:rPr>
          <w:rFonts w:cs="Lucida Sans Unicode"/>
          <w:bCs/>
          <w:sz w:val="18"/>
          <w:szCs w:val="18"/>
        </w:rPr>
        <w:t>einen Gewi</w:t>
      </w:r>
      <w:r>
        <w:rPr>
          <w:rFonts w:cs="Lucida Sans Unicode"/>
          <w:bCs/>
          <w:sz w:val="18"/>
          <w:szCs w:val="18"/>
        </w:rPr>
        <w:t>nn (bereinigtes EBITDA) von 2,15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14:paraId="6F40D390" w14:textId="77777777" w:rsidR="006E5B66" w:rsidRDefault="006E5B66" w:rsidP="006E5B66">
      <w:pPr>
        <w:rPr>
          <w:sz w:val="18"/>
          <w:szCs w:val="18"/>
        </w:rPr>
      </w:pPr>
    </w:p>
    <w:p w14:paraId="6F40D391"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6F40D392" w14:textId="77777777"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6F40D393"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D333A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7846" w14:textId="77777777" w:rsidR="006E699F" w:rsidRDefault="006E699F" w:rsidP="00FD1184">
      <w:r>
        <w:separator/>
      </w:r>
    </w:p>
  </w:endnote>
  <w:endnote w:type="continuationSeparator" w:id="0">
    <w:p w14:paraId="4302B00B" w14:textId="77777777" w:rsidR="006E699F" w:rsidRDefault="006E699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0EE1" w14:textId="77777777" w:rsidR="00492794" w:rsidRDefault="004927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D399" w14:textId="77777777" w:rsidR="006E699F" w:rsidRDefault="006E699F">
    <w:pPr>
      <w:pStyle w:val="Fuzeile"/>
    </w:pPr>
  </w:p>
  <w:p w14:paraId="6F40D39A" w14:textId="77777777" w:rsidR="006E699F" w:rsidRDefault="006E699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D39C" w14:textId="77777777" w:rsidR="006E699F" w:rsidRDefault="006E699F" w:rsidP="00316EC0">
    <w:pPr>
      <w:pStyle w:val="Fuzeile"/>
    </w:pPr>
  </w:p>
  <w:p w14:paraId="6F40D39D" w14:textId="77777777" w:rsidR="006E699F" w:rsidRPr="005225EC" w:rsidRDefault="006E699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A694" w14:textId="77777777" w:rsidR="006E699F" w:rsidRDefault="006E699F" w:rsidP="00FD1184">
      <w:r>
        <w:separator/>
      </w:r>
    </w:p>
  </w:footnote>
  <w:footnote w:type="continuationSeparator" w:id="0">
    <w:p w14:paraId="6B6D3049" w14:textId="77777777" w:rsidR="006E699F" w:rsidRDefault="006E699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E58A" w14:textId="77777777" w:rsidR="00492794" w:rsidRDefault="004927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D398" w14:textId="37C5F1AE" w:rsidR="006E699F" w:rsidRPr="006C35A6" w:rsidRDefault="00492794" w:rsidP="00316EC0">
    <w:pPr>
      <w:pStyle w:val="Kopfzeile"/>
      <w:spacing w:after="1880"/>
      <w:rPr>
        <w:sz w:val="2"/>
        <w:szCs w:val="2"/>
      </w:rPr>
    </w:pPr>
    <w:r>
      <w:rPr>
        <w:noProof/>
      </w:rPr>
      <w:drawing>
        <wp:inline distT="0" distB="0" distL="0" distR="0" wp14:anchorId="3FD570AF" wp14:editId="7A50C68F">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6E699F" w:rsidRPr="006C35A6">
      <w:rPr>
        <w:noProof/>
        <w:sz w:val="2"/>
        <w:szCs w:val="2"/>
      </w:rPr>
      <w:drawing>
        <wp:anchor distT="0" distB="0" distL="114300" distR="114300" simplePos="0" relativeHeight="251661312" behindDoc="1" locked="0" layoutInCell="1" allowOverlap="1" wp14:anchorId="6F40D3A0" wp14:editId="3D105CD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D39B" w14:textId="7F70900D" w:rsidR="006E699F" w:rsidRPr="006C35A6" w:rsidRDefault="00492794">
    <w:pPr>
      <w:pStyle w:val="Kopfzeile"/>
      <w:rPr>
        <w:b/>
        <w:sz w:val="2"/>
        <w:szCs w:val="2"/>
      </w:rPr>
    </w:pPr>
    <w:r>
      <w:rPr>
        <w:noProof/>
      </w:rPr>
      <w:drawing>
        <wp:inline distT="0" distB="0" distL="0" distR="0" wp14:anchorId="1C5339F0" wp14:editId="3FE25F5D">
          <wp:extent cx="1911350" cy="133350"/>
          <wp:effectExtent l="0" t="0" r="0" b="0"/>
          <wp:docPr id="9"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6E699F" w:rsidRPr="006C35A6">
      <w:rPr>
        <w:b/>
        <w:noProof/>
        <w:sz w:val="2"/>
        <w:szCs w:val="2"/>
      </w:rPr>
      <w:drawing>
        <wp:anchor distT="0" distB="0" distL="114300" distR="114300" simplePos="0" relativeHeight="251660288" behindDoc="1" locked="0" layoutInCell="1" allowOverlap="1" wp14:anchorId="6F40D3A4" wp14:editId="2044835F">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78E"/>
    <w:rsid w:val="00007459"/>
    <w:rsid w:val="00035360"/>
    <w:rsid w:val="00044EB8"/>
    <w:rsid w:val="00046D8D"/>
    <w:rsid w:val="00047E57"/>
    <w:rsid w:val="00052FB1"/>
    <w:rsid w:val="0006177F"/>
    <w:rsid w:val="0007153D"/>
    <w:rsid w:val="0007589D"/>
    <w:rsid w:val="00084555"/>
    <w:rsid w:val="000846DA"/>
    <w:rsid w:val="00086556"/>
    <w:rsid w:val="000902FA"/>
    <w:rsid w:val="00092F83"/>
    <w:rsid w:val="000A0DDB"/>
    <w:rsid w:val="000A7091"/>
    <w:rsid w:val="000B1B97"/>
    <w:rsid w:val="000B4D73"/>
    <w:rsid w:val="000C4175"/>
    <w:rsid w:val="000D1DD8"/>
    <w:rsid w:val="000E06AB"/>
    <w:rsid w:val="000F70A3"/>
    <w:rsid w:val="00102E05"/>
    <w:rsid w:val="00110640"/>
    <w:rsid w:val="001175D3"/>
    <w:rsid w:val="00124443"/>
    <w:rsid w:val="00130512"/>
    <w:rsid w:val="001625AF"/>
    <w:rsid w:val="001631E8"/>
    <w:rsid w:val="00165932"/>
    <w:rsid w:val="0017414F"/>
    <w:rsid w:val="00196518"/>
    <w:rsid w:val="001A4962"/>
    <w:rsid w:val="001B206A"/>
    <w:rsid w:val="001F00B7"/>
    <w:rsid w:val="001F7C26"/>
    <w:rsid w:val="002159BA"/>
    <w:rsid w:val="00221C32"/>
    <w:rsid w:val="0022399B"/>
    <w:rsid w:val="0023452F"/>
    <w:rsid w:val="0023466C"/>
    <w:rsid w:val="00242A50"/>
    <w:rsid w:val="0024351A"/>
    <w:rsid w:val="0024351E"/>
    <w:rsid w:val="002465EB"/>
    <w:rsid w:val="00247D5A"/>
    <w:rsid w:val="00262EE6"/>
    <w:rsid w:val="00266B39"/>
    <w:rsid w:val="00276C89"/>
    <w:rsid w:val="002771D9"/>
    <w:rsid w:val="00287090"/>
    <w:rsid w:val="00290F07"/>
    <w:rsid w:val="0029182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0FC8"/>
    <w:rsid w:val="00384C52"/>
    <w:rsid w:val="003A023D"/>
    <w:rsid w:val="003A1BB1"/>
    <w:rsid w:val="003A4CED"/>
    <w:rsid w:val="003B34A2"/>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2794"/>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07C09"/>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2D9E"/>
    <w:rsid w:val="00696594"/>
    <w:rsid w:val="006A1832"/>
    <w:rsid w:val="006A581A"/>
    <w:rsid w:val="006C35A6"/>
    <w:rsid w:val="006C388A"/>
    <w:rsid w:val="006D601A"/>
    <w:rsid w:val="006E2710"/>
    <w:rsid w:val="006E2F15"/>
    <w:rsid w:val="006E5B66"/>
    <w:rsid w:val="006E699F"/>
    <w:rsid w:val="006E7C47"/>
    <w:rsid w:val="006F3AB9"/>
    <w:rsid w:val="00717EDA"/>
    <w:rsid w:val="0072366D"/>
    <w:rsid w:val="00731495"/>
    <w:rsid w:val="00744FA6"/>
    <w:rsid w:val="00751E3D"/>
    <w:rsid w:val="00763004"/>
    <w:rsid w:val="00770879"/>
    <w:rsid w:val="00775D2E"/>
    <w:rsid w:val="00784360"/>
    <w:rsid w:val="007A2C47"/>
    <w:rsid w:val="007A4A20"/>
    <w:rsid w:val="007C42FA"/>
    <w:rsid w:val="007E025C"/>
    <w:rsid w:val="007E5A2B"/>
    <w:rsid w:val="007E7C76"/>
    <w:rsid w:val="007F1506"/>
    <w:rsid w:val="007F200A"/>
    <w:rsid w:val="00800AA9"/>
    <w:rsid w:val="00806951"/>
    <w:rsid w:val="00826AB1"/>
    <w:rsid w:val="00834E44"/>
    <w:rsid w:val="00836B9A"/>
    <w:rsid w:val="00837682"/>
    <w:rsid w:val="008420F0"/>
    <w:rsid w:val="0084389E"/>
    <w:rsid w:val="00846E59"/>
    <w:rsid w:val="00860A6B"/>
    <w:rsid w:val="00871D17"/>
    <w:rsid w:val="00876BD1"/>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6F94"/>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2793B"/>
    <w:rsid w:val="00B300C4"/>
    <w:rsid w:val="00B31D5A"/>
    <w:rsid w:val="00B46BD0"/>
    <w:rsid w:val="00B50494"/>
    <w:rsid w:val="00B54E7A"/>
    <w:rsid w:val="00B811DE"/>
    <w:rsid w:val="00B85905"/>
    <w:rsid w:val="00BA41A7"/>
    <w:rsid w:val="00BA4EB5"/>
    <w:rsid w:val="00BA584D"/>
    <w:rsid w:val="00BA6649"/>
    <w:rsid w:val="00BB1628"/>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541EA"/>
    <w:rsid w:val="00E67709"/>
    <w:rsid w:val="00E8576B"/>
    <w:rsid w:val="00E97290"/>
    <w:rsid w:val="00EA1E86"/>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40D36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26914099">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2019-11-04T23:00:00+00:00</Date>
    <Description0 xmlns="3900a7cd-735b-4f56-a6f4-08d139dd6cc3">DE_191105_IR News Q3</Description0>
    <DocumentTitle xmlns="3900a7cd-735b-4f56-a6f4-08d139dd6cc3">DE_191105_IR News Q3</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3B14A-9EB9-480C-A2A9-C653CC74FC3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c54ee6-4a5a-4e1c-aa1a-8ea26becada8"/>
    <ds:schemaRef ds:uri="http://www.w3.org/XML/1998/namespace"/>
  </ds:schemaRefs>
</ds:datastoreItem>
</file>

<file path=customXml/itemProps2.xml><?xml version="1.0" encoding="utf-8"?>
<ds:datastoreItem xmlns:ds="http://schemas.openxmlformats.org/officeDocument/2006/customXml" ds:itemID="{4E3B6400-F8CF-4643-A9E9-6D139C877BD0}"/>
</file>

<file path=customXml/itemProps3.xml><?xml version="1.0" encoding="utf-8"?>
<ds:datastoreItem xmlns:ds="http://schemas.openxmlformats.org/officeDocument/2006/customXml" ds:itemID="{BA6D68D2-73B2-44FE-910C-403D96001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B5CBF007</Template>
  <TotalTime>0</TotalTime>
  <Pages>5</Pages>
  <Words>810</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6331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Kanotowsky, Janine</cp:lastModifiedBy>
  <cp:revision>3</cp:revision>
  <cp:lastPrinted>2019-11-04T13:51:00Z</cp:lastPrinted>
  <dcterms:created xsi:type="dcterms:W3CDTF">2019-11-04T13:48:00Z</dcterms:created>
  <dcterms:modified xsi:type="dcterms:W3CDTF">2019-11-04T13:52:00Z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