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8C" w:rsidRPr="008602BB" w:rsidRDefault="00ED7B8C" w:rsidP="00ED7B8C">
      <w:pPr>
        <w:framePr w:w="2659" w:wrap="around" w:hAnchor="page" w:x="8971" w:yAlign="bottom" w:anchorLock="1"/>
        <w:spacing w:line="180" w:lineRule="exact"/>
        <w:rPr>
          <w:noProof/>
          <w:sz w:val="13"/>
          <w:szCs w:val="13"/>
        </w:rPr>
      </w:pPr>
      <w:r w:rsidRPr="008602BB">
        <w:rPr>
          <w:b/>
          <w:noProof/>
          <w:sz w:val="13"/>
          <w:szCs w:val="13"/>
        </w:rPr>
        <w:t>Evonik Industries AG</w:t>
      </w:r>
    </w:p>
    <w:p w:rsidR="00ED7B8C" w:rsidRPr="008602BB" w:rsidRDefault="00ED7B8C" w:rsidP="00ED7B8C">
      <w:pPr>
        <w:framePr w:w="2659" w:wrap="around" w:hAnchor="page" w:x="8971" w:yAlign="bottom" w:anchorLock="1"/>
        <w:spacing w:line="180" w:lineRule="exact"/>
        <w:rPr>
          <w:noProof/>
          <w:sz w:val="13"/>
          <w:szCs w:val="13"/>
        </w:rPr>
      </w:pPr>
      <w:r w:rsidRPr="008602BB">
        <w:rPr>
          <w:noProof/>
          <w:sz w:val="13"/>
          <w:szCs w:val="13"/>
        </w:rPr>
        <w:t>Rellinghauser Straße 1-11</w:t>
      </w:r>
    </w:p>
    <w:p w:rsidR="00ED7B8C" w:rsidRPr="008602BB" w:rsidRDefault="00ED7B8C" w:rsidP="00ED7B8C">
      <w:pPr>
        <w:framePr w:w="2659" w:wrap="around" w:hAnchor="page" w:x="8971" w:yAlign="bottom" w:anchorLock="1"/>
        <w:spacing w:line="180" w:lineRule="exact"/>
        <w:rPr>
          <w:noProof/>
          <w:sz w:val="13"/>
          <w:szCs w:val="13"/>
        </w:rPr>
      </w:pPr>
      <w:r w:rsidRPr="008602BB">
        <w:rPr>
          <w:noProof/>
          <w:sz w:val="13"/>
          <w:szCs w:val="13"/>
        </w:rPr>
        <w:t>45128 Essen</w:t>
      </w:r>
    </w:p>
    <w:p w:rsidR="00ED7B8C" w:rsidRPr="008602BB" w:rsidRDefault="00ED7B8C" w:rsidP="00ED7B8C">
      <w:pPr>
        <w:framePr w:w="2659" w:wrap="around" w:hAnchor="page" w:x="8971" w:yAlign="bottom" w:anchorLock="1"/>
        <w:spacing w:line="180" w:lineRule="exact"/>
        <w:rPr>
          <w:noProof/>
          <w:sz w:val="13"/>
          <w:szCs w:val="13"/>
        </w:rPr>
      </w:pPr>
      <w:r w:rsidRPr="008602BB">
        <w:rPr>
          <w:noProof/>
          <w:sz w:val="13"/>
          <w:szCs w:val="13"/>
        </w:rPr>
        <w:t>Telefon +49 201 177-01</w:t>
      </w:r>
    </w:p>
    <w:p w:rsidR="00ED7B8C" w:rsidRPr="008602BB" w:rsidRDefault="00ED7B8C" w:rsidP="00ED7B8C">
      <w:pPr>
        <w:framePr w:w="2659" w:wrap="around" w:hAnchor="page" w:x="8971" w:yAlign="bottom" w:anchorLock="1"/>
        <w:spacing w:line="180" w:lineRule="exact"/>
        <w:rPr>
          <w:noProof/>
          <w:sz w:val="13"/>
          <w:szCs w:val="13"/>
        </w:rPr>
      </w:pPr>
      <w:r w:rsidRPr="008602BB">
        <w:rPr>
          <w:noProof/>
          <w:sz w:val="13"/>
          <w:szCs w:val="13"/>
        </w:rPr>
        <w:t>Telefax +49 201 177-3475</w:t>
      </w:r>
    </w:p>
    <w:p w:rsidR="00ED7B8C" w:rsidRPr="008602BB" w:rsidRDefault="00ED7B8C" w:rsidP="00ED7B8C">
      <w:pPr>
        <w:framePr w:w="2659" w:wrap="around" w:hAnchor="page" w:x="8971" w:yAlign="bottom" w:anchorLock="1"/>
        <w:spacing w:line="180" w:lineRule="exact"/>
        <w:rPr>
          <w:noProof/>
          <w:sz w:val="13"/>
          <w:szCs w:val="13"/>
        </w:rPr>
      </w:pPr>
      <w:r w:rsidRPr="008602BB">
        <w:rPr>
          <w:noProof/>
          <w:sz w:val="13"/>
          <w:szCs w:val="13"/>
        </w:rPr>
        <w:t>www.evonik.de</w:t>
      </w:r>
    </w:p>
    <w:p w:rsidR="00ED7B8C" w:rsidRPr="008602BB" w:rsidRDefault="00ED7B8C" w:rsidP="00ED7B8C">
      <w:pPr>
        <w:framePr w:w="2659" w:wrap="around" w:hAnchor="page" w:x="8971" w:yAlign="bottom" w:anchorLock="1"/>
        <w:spacing w:line="180" w:lineRule="exact"/>
        <w:rPr>
          <w:noProof/>
          <w:sz w:val="13"/>
          <w:szCs w:val="13"/>
        </w:rPr>
      </w:pPr>
    </w:p>
    <w:p w:rsidR="00ED7B8C" w:rsidRPr="008602BB" w:rsidRDefault="00ED7B8C" w:rsidP="00ED7B8C">
      <w:pPr>
        <w:framePr w:w="2659" w:wrap="around" w:hAnchor="page" w:x="8971" w:yAlign="bottom" w:anchorLock="1"/>
        <w:spacing w:line="180" w:lineRule="exact"/>
        <w:rPr>
          <w:noProof/>
          <w:sz w:val="13"/>
          <w:szCs w:val="13"/>
        </w:rPr>
      </w:pPr>
      <w:r w:rsidRPr="008602BB">
        <w:rPr>
          <w:b/>
          <w:noProof/>
          <w:sz w:val="13"/>
          <w:szCs w:val="13"/>
        </w:rPr>
        <w:t>Aufsichtsrat</w:t>
      </w:r>
    </w:p>
    <w:p w:rsidR="00ED7B8C" w:rsidRPr="008602BB" w:rsidRDefault="00ED7B8C" w:rsidP="00ED7B8C">
      <w:pPr>
        <w:framePr w:w="2659" w:wrap="around" w:hAnchor="page" w:x="8971" w:yAlign="bottom" w:anchorLock="1"/>
        <w:spacing w:line="180" w:lineRule="exact"/>
        <w:rPr>
          <w:noProof/>
          <w:sz w:val="13"/>
          <w:szCs w:val="13"/>
        </w:rPr>
      </w:pPr>
      <w:r w:rsidRPr="008602BB">
        <w:rPr>
          <w:noProof/>
          <w:sz w:val="13"/>
          <w:szCs w:val="13"/>
        </w:rPr>
        <w:t>Bernd Tönjes, Vorsitzender</w:t>
      </w:r>
    </w:p>
    <w:p w:rsidR="00ED7B8C" w:rsidRPr="008602BB" w:rsidRDefault="00ED7B8C" w:rsidP="00ED7B8C">
      <w:pPr>
        <w:framePr w:w="2659" w:wrap="around" w:hAnchor="page" w:x="8971" w:yAlign="bottom" w:anchorLock="1"/>
        <w:spacing w:line="180" w:lineRule="exact"/>
        <w:rPr>
          <w:noProof/>
          <w:sz w:val="13"/>
          <w:szCs w:val="13"/>
        </w:rPr>
      </w:pPr>
      <w:r w:rsidRPr="008602BB">
        <w:rPr>
          <w:noProof/>
          <w:sz w:val="13"/>
          <w:szCs w:val="13"/>
        </w:rPr>
        <w:t>Dr. Werner Müller, Ehrenvorsitzender</w:t>
      </w:r>
    </w:p>
    <w:p w:rsidR="00ED7B8C" w:rsidRPr="008602BB" w:rsidRDefault="00ED7B8C" w:rsidP="00ED7B8C">
      <w:pPr>
        <w:framePr w:w="2659" w:wrap="around" w:hAnchor="page" w:x="8971" w:yAlign="bottom" w:anchorLock="1"/>
        <w:spacing w:line="180" w:lineRule="exact"/>
        <w:rPr>
          <w:noProof/>
          <w:sz w:val="13"/>
          <w:szCs w:val="13"/>
        </w:rPr>
      </w:pPr>
      <w:r w:rsidRPr="008602BB">
        <w:rPr>
          <w:b/>
          <w:noProof/>
          <w:sz w:val="13"/>
          <w:szCs w:val="13"/>
        </w:rPr>
        <w:t>Vorstand</w:t>
      </w:r>
    </w:p>
    <w:p w:rsidR="00ED7B8C" w:rsidRPr="008602BB" w:rsidRDefault="00ED7B8C" w:rsidP="00ED7B8C">
      <w:pPr>
        <w:framePr w:w="2659" w:wrap="around" w:hAnchor="page" w:x="8971" w:yAlign="bottom" w:anchorLock="1"/>
        <w:spacing w:line="180" w:lineRule="exact"/>
        <w:rPr>
          <w:noProof/>
          <w:sz w:val="13"/>
          <w:szCs w:val="13"/>
        </w:rPr>
      </w:pPr>
      <w:r w:rsidRPr="008602BB">
        <w:rPr>
          <w:noProof/>
          <w:sz w:val="13"/>
          <w:szCs w:val="13"/>
        </w:rPr>
        <w:t>Christian Kullmann, Vorsitzender</w:t>
      </w:r>
    </w:p>
    <w:p w:rsidR="00ED7B8C" w:rsidRPr="008602BB" w:rsidRDefault="00ED7B8C" w:rsidP="00ED7B8C">
      <w:pPr>
        <w:framePr w:w="2659" w:wrap="around" w:hAnchor="page" w:x="8971" w:yAlign="bottom" w:anchorLock="1"/>
        <w:spacing w:line="180" w:lineRule="exact"/>
        <w:rPr>
          <w:noProof/>
          <w:sz w:val="13"/>
          <w:szCs w:val="13"/>
        </w:rPr>
      </w:pPr>
      <w:r w:rsidRPr="008602BB">
        <w:rPr>
          <w:noProof/>
          <w:sz w:val="13"/>
          <w:szCs w:val="13"/>
        </w:rPr>
        <w:t>Dr. Harald Schwager, Stellv. Vorsitzender</w:t>
      </w:r>
    </w:p>
    <w:p w:rsidR="00ED7B8C" w:rsidRPr="008602BB" w:rsidRDefault="00ED7B8C" w:rsidP="00ED7B8C">
      <w:pPr>
        <w:framePr w:w="2659" w:wrap="around" w:hAnchor="page" w:x="8971" w:yAlign="bottom" w:anchorLock="1"/>
        <w:spacing w:line="180" w:lineRule="exact"/>
        <w:rPr>
          <w:noProof/>
          <w:sz w:val="13"/>
          <w:szCs w:val="13"/>
        </w:rPr>
      </w:pPr>
      <w:r w:rsidRPr="008602BB">
        <w:rPr>
          <w:noProof/>
          <w:sz w:val="13"/>
          <w:szCs w:val="13"/>
        </w:rPr>
        <w:t>Thomas Wessel</w:t>
      </w:r>
    </w:p>
    <w:p w:rsidR="00ED7B8C" w:rsidRPr="008602BB" w:rsidRDefault="00ED7B8C" w:rsidP="00ED7B8C">
      <w:pPr>
        <w:framePr w:w="2659" w:wrap="around" w:hAnchor="page" w:x="8971" w:yAlign="bottom" w:anchorLock="1"/>
        <w:spacing w:line="180" w:lineRule="exact"/>
        <w:rPr>
          <w:noProof/>
          <w:sz w:val="13"/>
          <w:szCs w:val="13"/>
        </w:rPr>
      </w:pPr>
      <w:r w:rsidRPr="008602BB">
        <w:rPr>
          <w:noProof/>
          <w:sz w:val="13"/>
          <w:szCs w:val="13"/>
        </w:rPr>
        <w:t>Ute Wolf</w:t>
      </w:r>
    </w:p>
    <w:p w:rsidR="00ED7B8C" w:rsidRPr="008602BB" w:rsidRDefault="00ED7B8C" w:rsidP="00ED7B8C">
      <w:pPr>
        <w:framePr w:w="2659" w:wrap="around" w:hAnchor="page" w:x="8971" w:yAlign="bottom" w:anchorLock="1"/>
        <w:spacing w:line="180" w:lineRule="exact"/>
        <w:rPr>
          <w:noProof/>
          <w:sz w:val="13"/>
          <w:szCs w:val="13"/>
        </w:rPr>
      </w:pPr>
    </w:p>
    <w:p w:rsidR="00ED7B8C" w:rsidRPr="008602BB" w:rsidRDefault="00ED7B8C" w:rsidP="00ED7B8C">
      <w:pPr>
        <w:framePr w:w="2659" w:wrap="around" w:hAnchor="page" w:x="8971" w:yAlign="bottom" w:anchorLock="1"/>
        <w:spacing w:line="180" w:lineRule="exact"/>
        <w:rPr>
          <w:noProof/>
          <w:sz w:val="13"/>
          <w:szCs w:val="13"/>
        </w:rPr>
      </w:pPr>
      <w:r w:rsidRPr="008602BB">
        <w:rPr>
          <w:noProof/>
          <w:sz w:val="13"/>
          <w:szCs w:val="13"/>
        </w:rPr>
        <w:t>Sitz der Gesellschaft ist Essen</w:t>
      </w:r>
    </w:p>
    <w:p w:rsidR="00ED7B8C" w:rsidRPr="008602BB" w:rsidRDefault="00ED7B8C" w:rsidP="00ED7B8C">
      <w:pPr>
        <w:framePr w:w="2659" w:wrap="around" w:hAnchor="page" w:x="8971" w:yAlign="bottom" w:anchorLock="1"/>
        <w:spacing w:line="180" w:lineRule="exact"/>
        <w:rPr>
          <w:noProof/>
          <w:sz w:val="13"/>
          <w:szCs w:val="13"/>
        </w:rPr>
      </w:pPr>
      <w:r w:rsidRPr="008602BB">
        <w:rPr>
          <w:noProof/>
          <w:sz w:val="13"/>
          <w:szCs w:val="13"/>
        </w:rPr>
        <w:t>Registergericht Amtsgericht Essen</w:t>
      </w:r>
    </w:p>
    <w:p w:rsidR="006F0E03" w:rsidRPr="00D333AA" w:rsidRDefault="00ED7B8C" w:rsidP="006F0E03">
      <w:pPr>
        <w:framePr w:w="2659" w:wrap="around" w:hAnchor="page" w:x="8971" w:yAlign="bottom" w:anchorLock="1"/>
        <w:spacing w:line="180" w:lineRule="exact"/>
        <w:rPr>
          <w:noProof/>
          <w:sz w:val="13"/>
          <w:szCs w:val="13"/>
        </w:rPr>
      </w:pPr>
      <w:r w:rsidRPr="008602BB">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8F0613" w:rsidP="00BC2441">
            <w:pPr>
              <w:pStyle w:val="M8"/>
              <w:framePr w:wrap="auto" w:vAnchor="margin" w:hAnchor="text" w:xAlign="left" w:yAlign="inline"/>
              <w:suppressOverlap w:val="0"/>
              <w:rPr>
                <w:sz w:val="18"/>
                <w:szCs w:val="18"/>
              </w:rPr>
            </w:pPr>
            <w:r>
              <w:rPr>
                <w:sz w:val="18"/>
                <w:szCs w:val="18"/>
              </w:rPr>
              <w:t>7</w:t>
            </w:r>
            <w:r w:rsidR="00E238CB">
              <w:rPr>
                <w:sz w:val="18"/>
                <w:szCs w:val="18"/>
              </w:rPr>
              <w:t xml:space="preserve">. </w:t>
            </w:r>
            <w:r w:rsidR="00230FD8">
              <w:rPr>
                <w:sz w:val="18"/>
                <w:szCs w:val="18"/>
              </w:rPr>
              <w:t>Mai</w:t>
            </w:r>
            <w:r w:rsidR="00E238CB">
              <w:rPr>
                <w:sz w:val="18"/>
                <w:szCs w:val="18"/>
              </w:rPr>
              <w:t xml:space="preserve"> </w:t>
            </w:r>
            <w:r>
              <w:rPr>
                <w:sz w:val="18"/>
                <w:szCs w:val="18"/>
              </w:rPr>
              <w:t>2019</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984F18">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984F18">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984F18">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984F18">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984F18">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FB28AF">
            <w:pPr>
              <w:pStyle w:val="M10"/>
              <w:framePr w:wrap="auto" w:vAnchor="margin" w:hAnchor="text" w:xAlign="left" w:yAlign="inline"/>
              <w:suppressOverlap w:val="0"/>
            </w:pPr>
          </w:p>
        </w:tc>
      </w:tr>
    </w:tbl>
    <w:p w:rsidR="00BA2BB0" w:rsidRPr="004146DD" w:rsidRDefault="00BA2BB0" w:rsidP="00BA2BB0">
      <w:pPr>
        <w:pStyle w:val="Titel"/>
        <w:rPr>
          <w:b w:val="0"/>
          <w:sz w:val="22"/>
          <w:szCs w:val="22"/>
          <w:u w:val="single"/>
        </w:rPr>
      </w:pPr>
      <w:r w:rsidRPr="004146DD">
        <w:rPr>
          <w:b w:val="0"/>
          <w:sz w:val="22"/>
          <w:szCs w:val="22"/>
          <w:u w:val="single"/>
        </w:rPr>
        <w:t>Se</w:t>
      </w:r>
      <w:r>
        <w:rPr>
          <w:b w:val="0"/>
          <w:sz w:val="22"/>
          <w:szCs w:val="22"/>
          <w:u w:val="single"/>
        </w:rPr>
        <w:t>ndesperrfrist: 7. Mai 2019, 06:45</w:t>
      </w:r>
      <w:r w:rsidRPr="004146DD">
        <w:rPr>
          <w:b w:val="0"/>
          <w:sz w:val="22"/>
          <w:szCs w:val="22"/>
          <w:u w:val="single"/>
        </w:rPr>
        <w:t xml:space="preserve"> Uhr MESZ</w:t>
      </w:r>
    </w:p>
    <w:p w:rsidR="00BA2BB0" w:rsidRPr="004146DD" w:rsidRDefault="00BA2BB0" w:rsidP="00BA2BB0">
      <w:pPr>
        <w:rPr>
          <w:rFonts w:cs="Arial"/>
          <w:bCs/>
          <w:kern w:val="28"/>
          <w:szCs w:val="22"/>
          <w:u w:val="single"/>
        </w:rPr>
      </w:pPr>
    </w:p>
    <w:p w:rsidR="00BA2BB0" w:rsidRPr="004146DD" w:rsidRDefault="00BA2BB0" w:rsidP="00BA2BB0">
      <w:pPr>
        <w:pStyle w:val="Titel"/>
        <w:rPr>
          <w:b w:val="0"/>
          <w:sz w:val="22"/>
          <w:szCs w:val="22"/>
          <w:u w:val="single"/>
        </w:rPr>
      </w:pPr>
      <w:r w:rsidRPr="004146DD">
        <w:rPr>
          <w:b w:val="0"/>
          <w:sz w:val="22"/>
          <w:szCs w:val="22"/>
          <w:u w:val="single"/>
        </w:rPr>
        <w:t xml:space="preserve">Wirtschaftliche Eckdaten: </w:t>
      </w:r>
    </w:p>
    <w:p w:rsidR="00BA2BB0" w:rsidRPr="004146DD" w:rsidRDefault="00BA2BB0" w:rsidP="00BA2BB0">
      <w:pPr>
        <w:pStyle w:val="Titel"/>
        <w:rPr>
          <w:b w:val="0"/>
          <w:sz w:val="22"/>
          <w:szCs w:val="22"/>
        </w:rPr>
      </w:pPr>
      <w:r w:rsidRPr="004146DD">
        <w:rPr>
          <w:b w:val="0"/>
          <w:sz w:val="22"/>
          <w:szCs w:val="22"/>
          <w:u w:val="single"/>
        </w:rPr>
        <w:t>1. Januar – 31</w:t>
      </w:r>
      <w:r>
        <w:rPr>
          <w:b w:val="0"/>
          <w:sz w:val="22"/>
          <w:szCs w:val="22"/>
          <w:u w:val="single"/>
        </w:rPr>
        <w:t>.</w:t>
      </w:r>
      <w:r w:rsidRPr="004146DD">
        <w:rPr>
          <w:b w:val="0"/>
          <w:sz w:val="22"/>
          <w:szCs w:val="22"/>
          <w:u w:val="single"/>
        </w:rPr>
        <w:t xml:space="preserve"> März 2019 / 1. Quartal 2019</w:t>
      </w:r>
    </w:p>
    <w:p w:rsidR="00BA2BB0" w:rsidRDefault="00BA2BB0" w:rsidP="00BA2BB0">
      <w:pPr>
        <w:pStyle w:val="Titel"/>
      </w:pPr>
    </w:p>
    <w:p w:rsidR="00BA2BB0" w:rsidRDefault="00BA2BB0" w:rsidP="00BA2BB0">
      <w:pPr>
        <w:pStyle w:val="Titel"/>
      </w:pPr>
    </w:p>
    <w:p w:rsidR="00BA2BB0" w:rsidRPr="00296F01" w:rsidRDefault="00BA2BB0" w:rsidP="00BA2BB0">
      <w:pPr>
        <w:pStyle w:val="Titel"/>
      </w:pPr>
      <w:r w:rsidRPr="00296F01">
        <w:t xml:space="preserve">Evonik </w:t>
      </w:r>
      <w:r>
        <w:t>startet solide ins Jahr 2019</w:t>
      </w:r>
    </w:p>
    <w:p w:rsidR="00BA2BB0" w:rsidRPr="0006177F" w:rsidRDefault="00BA2BB0" w:rsidP="00BA2BB0">
      <w:pPr>
        <w:pStyle w:val="Titel"/>
      </w:pPr>
    </w:p>
    <w:p w:rsidR="00BA2BB0" w:rsidRPr="004146DD" w:rsidRDefault="00BA2BB0" w:rsidP="00BA2BB0">
      <w:pPr>
        <w:numPr>
          <w:ilvl w:val="0"/>
          <w:numId w:val="32"/>
        </w:numPr>
        <w:tabs>
          <w:tab w:val="clear" w:pos="1724"/>
          <w:tab w:val="left" w:pos="284"/>
        </w:tabs>
        <w:ind w:left="0" w:firstLine="0"/>
        <w:rPr>
          <w:rFonts w:cs="Lucida Sans Unicode"/>
          <w:sz w:val="24"/>
        </w:rPr>
      </w:pPr>
      <w:r w:rsidRPr="00ED7B8C">
        <w:rPr>
          <w:rFonts w:cs="Lucida Sans Unicode"/>
          <w:sz w:val="24"/>
        </w:rPr>
        <w:t>Umsatz wächst um 1 Prozent auf 3,</w:t>
      </w:r>
      <w:r>
        <w:rPr>
          <w:rFonts w:cs="Lucida Sans Unicode"/>
          <w:sz w:val="24"/>
        </w:rPr>
        <w:t>29</w:t>
      </w:r>
      <w:r w:rsidRPr="00ED7B8C">
        <w:rPr>
          <w:rFonts w:cs="Lucida Sans Unicode"/>
          <w:sz w:val="24"/>
        </w:rPr>
        <w:t xml:space="preserve"> Milliarden</w:t>
      </w:r>
      <w:r>
        <w:rPr>
          <w:rFonts w:cs="Lucida Sans Unicode"/>
          <w:sz w:val="24"/>
        </w:rPr>
        <w:t xml:space="preserve"> </w:t>
      </w:r>
      <w:r w:rsidRPr="004146DD">
        <w:rPr>
          <w:rFonts w:cs="Lucida Sans Unicode"/>
          <w:sz w:val="24"/>
        </w:rPr>
        <w:t>€</w:t>
      </w:r>
    </w:p>
    <w:p w:rsidR="00BA2BB0" w:rsidRPr="004146DD" w:rsidRDefault="00BA2BB0" w:rsidP="00BA2BB0">
      <w:pPr>
        <w:pStyle w:val="Listenabsatz"/>
        <w:numPr>
          <w:ilvl w:val="0"/>
          <w:numId w:val="32"/>
        </w:numPr>
        <w:tabs>
          <w:tab w:val="clear" w:pos="1724"/>
        </w:tabs>
        <w:ind w:left="284" w:hanging="284"/>
        <w:rPr>
          <w:rFonts w:cs="Lucida Sans Unicode"/>
          <w:sz w:val="24"/>
        </w:rPr>
      </w:pPr>
      <w:r>
        <w:rPr>
          <w:rFonts w:cs="Lucida Sans Unicode"/>
          <w:sz w:val="24"/>
        </w:rPr>
        <w:t>Bereinigtes EBI</w:t>
      </w:r>
      <w:r w:rsidRPr="004146DD">
        <w:rPr>
          <w:rFonts w:cs="Lucida Sans Unicode"/>
          <w:sz w:val="24"/>
        </w:rPr>
        <w:t>T</w:t>
      </w:r>
      <w:r>
        <w:rPr>
          <w:rFonts w:cs="Lucida Sans Unicode"/>
          <w:sz w:val="24"/>
        </w:rPr>
        <w:t>D</w:t>
      </w:r>
      <w:r w:rsidRPr="004146DD">
        <w:rPr>
          <w:rFonts w:cs="Lucida Sans Unicode"/>
          <w:sz w:val="24"/>
        </w:rPr>
        <w:t>A von 539 Millionen € leicht unter Vorjahr</w:t>
      </w:r>
    </w:p>
    <w:p w:rsidR="00BA2BB0" w:rsidRPr="004146DD" w:rsidRDefault="00BA2BB0" w:rsidP="00BA2BB0">
      <w:pPr>
        <w:pStyle w:val="Listenabsatz"/>
        <w:numPr>
          <w:ilvl w:val="0"/>
          <w:numId w:val="32"/>
        </w:numPr>
        <w:tabs>
          <w:tab w:val="clear" w:pos="1724"/>
          <w:tab w:val="num" w:pos="1065"/>
        </w:tabs>
        <w:ind w:left="284" w:hanging="284"/>
        <w:rPr>
          <w:rFonts w:cs="Lucida Sans Unicode"/>
          <w:sz w:val="24"/>
        </w:rPr>
      </w:pPr>
      <w:r w:rsidRPr="004146DD">
        <w:rPr>
          <w:rFonts w:cs="Lucida Sans Unicode"/>
          <w:sz w:val="24"/>
        </w:rPr>
        <w:t>Free Cashflo</w:t>
      </w:r>
      <w:r>
        <w:rPr>
          <w:rFonts w:cs="Lucida Sans Unicode"/>
          <w:sz w:val="24"/>
        </w:rPr>
        <w:t>w verbessert sich deutlich auf</w:t>
      </w:r>
      <w:r>
        <w:rPr>
          <w:rFonts w:cs="Lucida Sans Unicode"/>
          <w:sz w:val="24"/>
        </w:rPr>
        <w:br/>
      </w:r>
      <w:r w:rsidRPr="004146DD">
        <w:rPr>
          <w:rFonts w:cs="Lucida Sans Unicode"/>
          <w:sz w:val="24"/>
        </w:rPr>
        <w:t>159 Millionen €</w:t>
      </w:r>
    </w:p>
    <w:p w:rsidR="00BA2BB0" w:rsidRPr="00C90D81" w:rsidRDefault="00BA2BB0" w:rsidP="00BA2BB0">
      <w:pPr>
        <w:tabs>
          <w:tab w:val="left" w:pos="284"/>
        </w:tabs>
        <w:ind w:left="284" w:right="85" w:hanging="284"/>
        <w:rPr>
          <w:rFonts w:cs="Lucida Sans Unicode"/>
          <w:sz w:val="24"/>
        </w:rPr>
      </w:pPr>
      <w:r w:rsidRPr="004146DD">
        <w:rPr>
          <w:rFonts w:cs="Lucida Sans Unicode"/>
          <w:sz w:val="24"/>
        </w:rPr>
        <w:t>•</w:t>
      </w:r>
      <w:r w:rsidRPr="004146DD">
        <w:rPr>
          <w:rFonts w:cs="Lucida Sans Unicode"/>
          <w:sz w:val="24"/>
        </w:rPr>
        <w:tab/>
        <w:t>Ausblick für 2019 angehoben: bereinigtes EBITDA</w:t>
      </w:r>
      <w:r>
        <w:rPr>
          <w:rFonts w:cs="Lucida Sans Unicode"/>
          <w:sz w:val="24"/>
        </w:rPr>
        <w:t xml:space="preserve"> </w:t>
      </w:r>
      <w:r w:rsidRPr="004146DD">
        <w:rPr>
          <w:rFonts w:cs="Lucida Sans Unicode"/>
          <w:sz w:val="24"/>
        </w:rPr>
        <w:t>mindestens stabil</w:t>
      </w:r>
    </w:p>
    <w:p w:rsidR="00BA2BB0" w:rsidRDefault="00BA2BB0" w:rsidP="00BA2BB0"/>
    <w:p w:rsidR="00BA2BB0" w:rsidRPr="004146DD" w:rsidRDefault="00BA2BB0" w:rsidP="00BA2BB0">
      <w:r w:rsidRPr="004146DD">
        <w:rPr>
          <w:b/>
        </w:rPr>
        <w:t>Essen.</w:t>
      </w:r>
      <w:r w:rsidRPr="004146DD">
        <w:t xml:space="preserve"> Evonik ist solide ins neue Jahr gestartet. Der Konzernumsatz erhöhte sich </w:t>
      </w:r>
      <w:r>
        <w:t xml:space="preserve">im ersten Quartal im Vergleich zum Vorjahresquartal um 1 Prozent </w:t>
      </w:r>
      <w:r w:rsidRPr="004146DD">
        <w:t>auf 3,29 Milliarden €</w:t>
      </w:r>
      <w:r>
        <w:t xml:space="preserve">. </w:t>
      </w:r>
      <w:r w:rsidRPr="004146DD">
        <w:t xml:space="preserve">Das bereinigte EBITDA </w:t>
      </w:r>
      <w:r>
        <w:t xml:space="preserve">ging um </w:t>
      </w:r>
      <w:r>
        <w:br/>
      </w:r>
      <w:r>
        <w:t xml:space="preserve">3 Prozent auf </w:t>
      </w:r>
      <w:r w:rsidRPr="004146DD">
        <w:t>539 Millionen €</w:t>
      </w:r>
      <w:r>
        <w:t xml:space="preserve"> zurück. </w:t>
      </w:r>
    </w:p>
    <w:p w:rsidR="00BA2BB0" w:rsidRPr="004146DD" w:rsidRDefault="00BA2BB0" w:rsidP="00BA2BB0"/>
    <w:p w:rsidR="00BA2BB0" w:rsidRPr="004146DD" w:rsidRDefault="00BA2BB0" w:rsidP="00BA2BB0">
      <w:r w:rsidRPr="004146DD">
        <w:t>„</w:t>
      </w:r>
      <w:r>
        <w:t>In einem schwächelnden weltwirtschaftlichen Umfeld konnten wir u</w:t>
      </w:r>
      <w:r w:rsidRPr="004146DD">
        <w:t xml:space="preserve">nser </w:t>
      </w:r>
      <w:r>
        <w:t xml:space="preserve">Umsatz- und Ergebnisniveau behaupten“, sagte </w:t>
      </w:r>
      <w:r>
        <w:br/>
      </w:r>
      <w:r>
        <w:t xml:space="preserve">Vorstandschef </w:t>
      </w:r>
      <w:r w:rsidRPr="004146DD">
        <w:t xml:space="preserve">Christian Kullmann. </w:t>
      </w:r>
      <w:r>
        <w:t xml:space="preserve">„Beim Free Cashflow legten wir sogar deutlich zu. Insgesamt ist unser </w:t>
      </w:r>
      <w:r w:rsidRPr="004146DD">
        <w:t xml:space="preserve">Portfolio heute robuster gegenüber </w:t>
      </w:r>
      <w:r>
        <w:t>konjunkturellen</w:t>
      </w:r>
      <w:r w:rsidRPr="004146DD">
        <w:t xml:space="preserve"> Entwicklungen als in der </w:t>
      </w:r>
      <w:r>
        <w:br/>
      </w:r>
      <w:r w:rsidRPr="004146DD">
        <w:t>Vergangenheit</w:t>
      </w:r>
      <w:r>
        <w:t xml:space="preserve">. </w:t>
      </w:r>
      <w:r w:rsidRPr="004146DD">
        <w:t xml:space="preserve">Dazu </w:t>
      </w:r>
      <w:r>
        <w:t xml:space="preserve">trägt </w:t>
      </w:r>
      <w:r w:rsidRPr="004146DD">
        <w:t xml:space="preserve">auch der Verkauf unseres </w:t>
      </w:r>
      <w:proofErr w:type="spellStart"/>
      <w:r w:rsidRPr="004146DD">
        <w:t>Methacrylatgeschäfts</w:t>
      </w:r>
      <w:proofErr w:type="spellEnd"/>
      <w:r>
        <w:t xml:space="preserve"> bei</w:t>
      </w:r>
      <w:r>
        <w:rPr>
          <w:rStyle w:val="Funotenzeichen"/>
        </w:rPr>
        <w:footnoteReference w:id="2"/>
      </w:r>
      <w:r w:rsidRPr="004146DD">
        <w:t>.“</w:t>
      </w:r>
    </w:p>
    <w:p w:rsidR="00BA2BB0" w:rsidRPr="004146DD" w:rsidRDefault="00BA2BB0" w:rsidP="00BA2BB0">
      <w:r w:rsidRPr="004146DD">
        <w:t> </w:t>
      </w:r>
    </w:p>
    <w:p w:rsidR="00BA2BB0" w:rsidRDefault="00BA2BB0" w:rsidP="00BA2BB0">
      <w:r>
        <w:t xml:space="preserve">Einmalige Anlaufkosten für neue Produktionsanlagen sowie ein temporärer Engpass bei der Rohstoffversorgung im Segment Performance Materials haben zum Rückgang des bereinigten </w:t>
      </w:r>
      <w:r>
        <w:br/>
      </w:r>
      <w:r>
        <w:t xml:space="preserve">EBITDA beigetragen. Dementsprechend ging die bereinigte </w:t>
      </w:r>
      <w:r>
        <w:br/>
      </w:r>
      <w:r>
        <w:t>EBITDA-Marge von 17,1 Prozent auf 16,4 Prozent zurück.</w:t>
      </w:r>
    </w:p>
    <w:p w:rsidR="00BA2BB0" w:rsidRDefault="00BA2BB0" w:rsidP="00BA2BB0">
      <w:r>
        <w:t>Das bereinigte Konzernergebnis nahm um 5 Prozent auf</w:t>
      </w:r>
    </w:p>
    <w:p w:rsidR="00BA2BB0" w:rsidRDefault="00BA2BB0" w:rsidP="00BA2BB0">
      <w:r>
        <w:t xml:space="preserve">249 Millionen € ab, das bereinigte Ergebnis je Aktie </w:t>
      </w:r>
    </w:p>
    <w:p w:rsidR="00BA2BB0" w:rsidRDefault="00BA2BB0" w:rsidP="00BA2BB0">
      <w:r>
        <w:t>Beträgt 0,53 €.</w:t>
      </w:r>
    </w:p>
    <w:p w:rsidR="00BA2BB0" w:rsidRDefault="00BA2BB0" w:rsidP="003631BF"/>
    <w:p w:rsidR="00BA2BB0" w:rsidRPr="00BA2BB0" w:rsidRDefault="00BA2BB0" w:rsidP="003631BF"/>
    <w:p w:rsidR="003631BF" w:rsidRDefault="003631BF" w:rsidP="003631BF">
      <w:pPr>
        <w:rPr>
          <w:b/>
        </w:rPr>
      </w:pPr>
    </w:p>
    <w:p w:rsidR="00BA2BB0" w:rsidRPr="004146DD" w:rsidRDefault="00BA2BB0" w:rsidP="00BA2BB0">
      <w:r w:rsidRPr="004146DD">
        <w:t xml:space="preserve">Der Free Cashflow verbesserte sich </w:t>
      </w:r>
      <w:r>
        <w:t>im Vergleich zum Vorjahresquartal deutlich</w:t>
      </w:r>
      <w:r w:rsidRPr="004146DD">
        <w:t xml:space="preserve"> um 109 Millionen € auf 159 Millionen €. Dies resultierte </w:t>
      </w:r>
      <w:r>
        <w:t xml:space="preserve">im Wesentlichen </w:t>
      </w:r>
      <w:r w:rsidRPr="004146DD">
        <w:t xml:space="preserve">aus </w:t>
      </w:r>
      <w:r>
        <w:t xml:space="preserve">einem geringeren Aufbau </w:t>
      </w:r>
      <w:r w:rsidRPr="004146DD">
        <w:t xml:space="preserve">des </w:t>
      </w:r>
      <w:r>
        <w:t>Nettou</w:t>
      </w:r>
      <w:r w:rsidRPr="004146DD">
        <w:t xml:space="preserve">mlaufvermögens sowie </w:t>
      </w:r>
      <w:r>
        <w:t xml:space="preserve">geringeren Pensionszahlungen. </w:t>
      </w:r>
    </w:p>
    <w:p w:rsidR="00BA2BB0" w:rsidRPr="004146DD" w:rsidRDefault="00BA2BB0" w:rsidP="00BA2BB0">
      <w:pPr>
        <w:rPr>
          <w:b/>
        </w:rPr>
      </w:pPr>
    </w:p>
    <w:p w:rsidR="00BA2BB0" w:rsidRPr="004146DD" w:rsidRDefault="00BA2BB0" w:rsidP="00BA2BB0">
      <w:pPr>
        <w:rPr>
          <w:b/>
        </w:rPr>
      </w:pPr>
      <w:r w:rsidRPr="004146DD">
        <w:rPr>
          <w:b/>
        </w:rPr>
        <w:t>Ausblick angehoben</w:t>
      </w:r>
    </w:p>
    <w:p w:rsidR="00BA2BB0" w:rsidRPr="004146DD" w:rsidRDefault="00BA2BB0" w:rsidP="00BA2BB0"/>
    <w:p w:rsidR="00BA2BB0" w:rsidRPr="004146DD" w:rsidRDefault="00BA2BB0" w:rsidP="00BA2BB0">
      <w:r w:rsidRPr="004146DD">
        <w:t xml:space="preserve">Mit </w:t>
      </w:r>
      <w:r>
        <w:t xml:space="preserve">der vereinbarten </w:t>
      </w:r>
      <w:r w:rsidRPr="004146DD">
        <w:t xml:space="preserve">Abgabe des </w:t>
      </w:r>
      <w:proofErr w:type="spellStart"/>
      <w:r w:rsidRPr="004146DD">
        <w:t>Methacrylatgeschäfts</w:t>
      </w:r>
      <w:proofErr w:type="spellEnd"/>
      <w:r w:rsidRPr="004146DD">
        <w:t xml:space="preserve"> wurde der Ausblick für die fortgeführten Aktivitäten erhöht.</w:t>
      </w:r>
      <w:r w:rsidRPr="004146DD" w:rsidDel="00350E73">
        <w:t xml:space="preserve"> </w:t>
      </w:r>
      <w:r w:rsidRPr="004146DD">
        <w:t xml:space="preserve">Evonik erwartet nun ein bereinigtes EBITDA sowie einen Umsatz mindestens auf </w:t>
      </w:r>
      <w:r>
        <w:br/>
      </w:r>
      <w:r w:rsidRPr="004146DD">
        <w:t>dem Niveau des Vorj</w:t>
      </w:r>
      <w:r>
        <w:t xml:space="preserve">ahres. </w:t>
      </w:r>
      <w:r w:rsidRPr="004146DD">
        <w:t>Der Ergebnisbeitrag aus der beabsichtigten Übernahme des amerikanischen Unternehmens PeroxyChem ist noch nicht im angepassten Ausblick berücksichtigt.</w:t>
      </w:r>
      <w:r>
        <w:t xml:space="preserve"> Im Jahr 2018 erzielten die fortgeführten Aktivitäten ein bereinigtes EBITDA von 2,15 Milliarden €</w:t>
      </w:r>
      <w:proofErr w:type="gramStart"/>
      <w:r>
        <w:t>,der</w:t>
      </w:r>
      <w:proofErr w:type="gramEnd"/>
      <w:r>
        <w:t xml:space="preserve"> Umsatz lag bei 13,3 Milliarden €.  </w:t>
      </w:r>
    </w:p>
    <w:p w:rsidR="00BA2BB0" w:rsidRPr="004146DD" w:rsidRDefault="00BA2BB0" w:rsidP="00BA2BB0"/>
    <w:p w:rsidR="00BA2BB0" w:rsidRDefault="00BA2BB0" w:rsidP="00BA2BB0">
      <w:r w:rsidRPr="004146DD">
        <w:t>Zum Ergebnis tragen auch die deutlichen Fortschritte in der Umsetzung des konz</w:t>
      </w:r>
      <w:r>
        <w:t>ernweiten Kosteneinsparprogramms bei.</w:t>
      </w:r>
    </w:p>
    <w:p w:rsidR="00BA2BB0" w:rsidRPr="004146DD" w:rsidRDefault="00BA2BB0" w:rsidP="00BA2BB0">
      <w:r w:rsidRPr="004146DD">
        <w:t xml:space="preserve">Von den insgesamt 1.000 zu reduzierenden Stellen werden zum Jahresende bereits mehr als die Hälfte abgebaut sein. </w:t>
      </w:r>
    </w:p>
    <w:p w:rsidR="00BA2BB0" w:rsidRPr="004146DD" w:rsidRDefault="00BA2BB0" w:rsidP="00BA2BB0"/>
    <w:p w:rsidR="00BA2BB0" w:rsidRPr="004146DD" w:rsidRDefault="00BA2BB0" w:rsidP="00BA2BB0">
      <w:pPr>
        <w:rPr>
          <w:b/>
        </w:rPr>
      </w:pPr>
    </w:p>
    <w:p w:rsidR="00BA2BB0" w:rsidRPr="004146DD" w:rsidRDefault="00BA2BB0" w:rsidP="00BA2BB0">
      <w:pPr>
        <w:rPr>
          <w:b/>
        </w:rPr>
      </w:pPr>
      <w:r w:rsidRPr="004146DD">
        <w:rPr>
          <w:b/>
        </w:rPr>
        <w:t>Entwicklung in den Segmenten</w:t>
      </w:r>
    </w:p>
    <w:p w:rsidR="00BA2BB0" w:rsidRPr="004146DD" w:rsidRDefault="00BA2BB0" w:rsidP="00BA2BB0"/>
    <w:p w:rsidR="00BA2BB0" w:rsidRDefault="00BA2BB0" w:rsidP="00BA2BB0">
      <w:r w:rsidRPr="004146DD">
        <w:rPr>
          <w:b/>
        </w:rPr>
        <w:t>Resource Efficiency:</w:t>
      </w:r>
      <w:r w:rsidRPr="004146DD">
        <w:t xml:space="preserve"> Die erfolgreiche Geschäftsentwicklung des Segments setzte sich auch im ersten Quartal 2019 fort. Der Umsatz stieg um 3 Prozent auf 1.399 Millionen €. Dies resultierte vor allem aus höheren Verkaufspreisen, während die Mengen leicht unter Vorjahr lagen. Bei unverändert hoher Nachfrage nach Hochleistungskunststoffe</w:t>
      </w:r>
      <w:r>
        <w:t>n</w:t>
      </w:r>
      <w:r w:rsidRPr="004146DD">
        <w:t xml:space="preserve"> (Polyamid-12) und Membranen wirkten sich gestiegene Preise positiv aus - entsprechend deutlich erhöhte sich der Umsatz. Gestiegene Umsätze erwirtschafteten auch die </w:t>
      </w:r>
      <w:proofErr w:type="spellStart"/>
      <w:r w:rsidRPr="004146DD">
        <w:t>Vernetzer</w:t>
      </w:r>
      <w:proofErr w:type="spellEnd"/>
      <w:r w:rsidRPr="004146DD">
        <w:t xml:space="preserve"> (Crosslinkers), die eine hohe Nachfrage insbesondere nach Composites-Anwendungen für den Windenergiemarkt verzeichneten sowie die Kieselsäuren (Silica), die von einer erfreulichen Entwicklung bei den Gummi- und Reifenanwendungen profitierten. Das bereinigte EBITDA verbesserte sich trotz Anlaufkosten für die neue </w:t>
      </w:r>
      <w:proofErr w:type="spellStart"/>
      <w:r w:rsidRPr="004146DD">
        <w:t>Kieselsäurenanlage</w:t>
      </w:r>
      <w:proofErr w:type="spellEnd"/>
      <w:r w:rsidRPr="004146DD">
        <w:t xml:space="preserve"> in den USA um 2 Prozent auf 324 Millionen €. </w:t>
      </w:r>
    </w:p>
    <w:p w:rsidR="00BA2BB0" w:rsidRDefault="00BA2BB0" w:rsidP="00BA2BB0"/>
    <w:p w:rsidR="00BA2BB0" w:rsidRDefault="00BA2BB0">
      <w:pPr>
        <w:spacing w:line="240" w:lineRule="auto"/>
        <w:rPr>
          <w:b/>
        </w:rPr>
      </w:pPr>
      <w:r>
        <w:rPr>
          <w:b/>
        </w:rPr>
        <w:br w:type="page"/>
      </w:r>
    </w:p>
    <w:p w:rsidR="00BA2BB0" w:rsidRDefault="00BA2BB0" w:rsidP="00BA2BB0">
      <w:r w:rsidRPr="004146DD">
        <w:rPr>
          <w:b/>
        </w:rPr>
        <w:t>Nutrition &amp; Care</w:t>
      </w:r>
      <w:r w:rsidRPr="004146DD">
        <w:t xml:space="preserve">: Der Umsatz erhöhte sich im ersten Quartal 2019 um 3 Prozent auf 1.149 Millionen €. Dies resultierte vor allem aus höheren Verkaufsmengen, während die Verkaufspreise nachgaben. Der Umsatz der essenziellen Aminosäuren für die Tierernährung ging </w:t>
      </w:r>
      <w:r>
        <w:t xml:space="preserve">infolge geringerer Verkaufspreise </w:t>
      </w:r>
      <w:r w:rsidRPr="004146DD">
        <w:t>leicht zurück. Die Mengen konnten dagegen deutlich ausgeweitet werden. Eine erfreulic</w:t>
      </w:r>
      <w:r>
        <w:t>he Entwicklung verzeichnete das</w:t>
      </w:r>
    </w:p>
    <w:p w:rsidR="00BA2BB0" w:rsidRDefault="00BA2BB0" w:rsidP="00BA2BB0">
      <w:r w:rsidRPr="004146DD">
        <w:t xml:space="preserve">Care-Solutions-Geschäft, das von einer höheren Nachfrage nach Spezialanwendungen unter anderem aus der Kosmetikindustrie profitierte. Das bereinigte EBITDA blieb mit 180 Millionen € um </w:t>
      </w:r>
    </w:p>
    <w:p w:rsidR="00BA2BB0" w:rsidRPr="004146DD" w:rsidRDefault="00BA2BB0" w:rsidP="00BA2BB0">
      <w:r w:rsidRPr="004146DD">
        <w:t>14 Prozent unter dem Vorjahreswert.</w:t>
      </w:r>
      <w:r>
        <w:t xml:space="preserve"> Hierzu trugen auch Kosten im Zusammenhang mit dem zur Jahresmitte 2019 geplanten </w:t>
      </w:r>
      <w:proofErr w:type="spellStart"/>
      <w:r>
        <w:t>Hochlauf</w:t>
      </w:r>
      <w:proofErr w:type="spellEnd"/>
      <w:r>
        <w:t xml:space="preserve"> der neuen Methioninanlage in Singapur bei.</w:t>
      </w:r>
    </w:p>
    <w:p w:rsidR="00BA2BB0" w:rsidRPr="004146DD" w:rsidRDefault="00BA2BB0" w:rsidP="00BA2BB0"/>
    <w:p w:rsidR="00BA2BB0" w:rsidRPr="004146DD" w:rsidRDefault="00BA2BB0" w:rsidP="00BA2BB0">
      <w:r w:rsidRPr="004146DD">
        <w:rPr>
          <w:b/>
        </w:rPr>
        <w:t>Performance Materials:</w:t>
      </w:r>
      <w:r w:rsidRPr="004146DD">
        <w:t xml:space="preserve"> Gegenüber dem Vorjahr ging der Umsatz im ersten Quartal 2019 um 7 Prozent auf 559 Millionen € zurück. Dies resultiert aus geringeren Verkaufsmengen, nachgebenden Preisen und einem negativen Währungseinfluss. Die Entwicklung bei den Performance Intermediates (C4-Chemie) war von einer eingeschränkten Rohstoffversorgung durch technische Probleme eines Lieferanten sowie einem niedrigeren Naphtha-Preis beeinträchtigt. Der Umsatz ging entsprechend zurück. Einen höheren Umsatz erzielte dagegen das Geschäftsgebiet Functional Solutions. Es profitierte von einer erhöhten Nachfrage vor allem nach Alkoholaten. Das bereinigte EBITDA verringerte sich um 9 Prozent auf </w:t>
      </w:r>
      <w:r w:rsidRPr="004146DD">
        <w:rPr>
          <w:bCs/>
        </w:rPr>
        <w:t>59 Millionen €</w:t>
      </w:r>
      <w:r w:rsidRPr="004146DD">
        <w:t>.</w:t>
      </w:r>
    </w:p>
    <w:p w:rsidR="003631BF" w:rsidRDefault="003631BF" w:rsidP="003631BF">
      <w:pPr>
        <w:rPr>
          <w:b/>
        </w:rPr>
      </w:pPr>
    </w:p>
    <w:p w:rsidR="00BA2BB0" w:rsidRDefault="00BA2BB0">
      <w:pPr>
        <w:spacing w:line="240" w:lineRule="auto"/>
        <w:rPr>
          <w:b/>
        </w:rPr>
      </w:pPr>
      <w:r>
        <w:rPr>
          <w:b/>
        </w:rPr>
        <w:br w:type="page"/>
      </w:r>
    </w:p>
    <w:p w:rsidR="003631BF" w:rsidRDefault="003631BF" w:rsidP="003631BF">
      <w:r w:rsidRPr="009758D2">
        <w:rPr>
          <w:b/>
        </w:rPr>
        <w:t>Evonik Konzern: Ergebnisrechnung im Überblic</w:t>
      </w:r>
      <w:r>
        <w:rPr>
          <w:b/>
        </w:rPr>
        <w:t>k</w:t>
      </w:r>
    </w:p>
    <w:p w:rsidR="003631BF" w:rsidRDefault="003631BF" w:rsidP="003631BF">
      <w:r w:rsidRPr="00F4078A">
        <w:rPr>
          <w:noProof/>
        </w:rPr>
        <w:drawing>
          <wp:anchor distT="0" distB="0" distL="114300" distR="114300" simplePos="0" relativeHeight="251661312" behindDoc="0" locked="0" layoutInCell="1" allowOverlap="1" wp14:anchorId="7E8FEDAA" wp14:editId="729D81F3">
            <wp:simplePos x="0" y="0"/>
            <wp:positionH relativeFrom="margin">
              <wp:align>left</wp:align>
            </wp:positionH>
            <wp:positionV relativeFrom="paragraph">
              <wp:posOffset>125044</wp:posOffset>
            </wp:positionV>
            <wp:extent cx="5111730" cy="227068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1730" cy="22706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1BF" w:rsidRDefault="003631BF" w:rsidP="003631BF"/>
    <w:p w:rsidR="003631BF" w:rsidRDefault="003631BF" w:rsidP="003631BF"/>
    <w:p w:rsidR="003631BF" w:rsidRDefault="003631BF" w:rsidP="003631BF"/>
    <w:p w:rsidR="003631BF" w:rsidRDefault="003631BF" w:rsidP="003631BF"/>
    <w:p w:rsidR="003631BF" w:rsidRDefault="003631BF" w:rsidP="003631BF"/>
    <w:p w:rsidR="003631BF" w:rsidRDefault="003631BF" w:rsidP="003631BF"/>
    <w:p w:rsidR="003631BF" w:rsidRDefault="003631BF" w:rsidP="003631BF">
      <w:pPr>
        <w:rPr>
          <w:b/>
        </w:rPr>
      </w:pPr>
    </w:p>
    <w:p w:rsidR="003631BF" w:rsidRDefault="003631BF" w:rsidP="003631BF">
      <w:pPr>
        <w:rPr>
          <w:b/>
        </w:rPr>
      </w:pPr>
    </w:p>
    <w:p w:rsidR="003631BF" w:rsidRDefault="003631BF" w:rsidP="003631BF">
      <w:pPr>
        <w:rPr>
          <w:b/>
        </w:rPr>
      </w:pPr>
    </w:p>
    <w:p w:rsidR="003631BF" w:rsidRDefault="003631BF" w:rsidP="003631BF">
      <w:r w:rsidRPr="009758D2">
        <w:rPr>
          <w:b/>
        </w:rPr>
        <w:t>Entwicklung in den Segmente</w:t>
      </w:r>
      <w:r>
        <w:rPr>
          <w:b/>
        </w:rPr>
        <w:t>n</w:t>
      </w:r>
    </w:p>
    <w:p w:rsidR="003631BF" w:rsidRDefault="003631BF" w:rsidP="003631BF"/>
    <w:p w:rsidR="00BA2BB0" w:rsidRDefault="00BA2BB0" w:rsidP="00BA2BB0">
      <w:pPr>
        <w:rPr>
          <w:b/>
        </w:rPr>
      </w:pPr>
    </w:p>
    <w:p w:rsidR="00BA2BB0" w:rsidRDefault="00BA2BB0" w:rsidP="003631BF">
      <w:pPr>
        <w:rPr>
          <w:b/>
        </w:rPr>
      </w:pPr>
    </w:p>
    <w:p w:rsidR="00BA2BB0" w:rsidRDefault="00BA2BB0" w:rsidP="003631BF">
      <w:pPr>
        <w:rPr>
          <w:b/>
        </w:rPr>
      </w:pPr>
    </w:p>
    <w:p w:rsidR="003631BF" w:rsidRDefault="003631BF" w:rsidP="003631BF">
      <w:r w:rsidRPr="009758D2">
        <w:rPr>
          <w:b/>
        </w:rPr>
        <w:t>Entwicklung in den Segmente</w:t>
      </w:r>
      <w:r>
        <w:rPr>
          <w:b/>
        </w:rPr>
        <w:t>n</w:t>
      </w:r>
    </w:p>
    <w:p w:rsidR="003631BF" w:rsidRDefault="003631BF" w:rsidP="003631BF">
      <w:r w:rsidRPr="009758D2">
        <w:rPr>
          <w:noProof/>
        </w:rPr>
        <w:drawing>
          <wp:anchor distT="0" distB="0" distL="114300" distR="114300" simplePos="0" relativeHeight="251659264" behindDoc="0" locked="0" layoutInCell="1" allowOverlap="1" wp14:anchorId="1F8F3666" wp14:editId="5426A8EA">
            <wp:simplePos x="0" y="0"/>
            <wp:positionH relativeFrom="margin">
              <wp:align>left</wp:align>
            </wp:positionH>
            <wp:positionV relativeFrom="paragraph">
              <wp:posOffset>95518</wp:posOffset>
            </wp:positionV>
            <wp:extent cx="6287135" cy="12382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7135" cy="1238250"/>
                    </a:xfrm>
                    <a:prstGeom prst="rect">
                      <a:avLst/>
                    </a:prstGeom>
                    <a:noFill/>
                    <a:ln>
                      <a:noFill/>
                    </a:ln>
                  </pic:spPr>
                </pic:pic>
              </a:graphicData>
            </a:graphic>
          </wp:anchor>
        </w:drawing>
      </w:r>
    </w:p>
    <w:p w:rsidR="003631BF" w:rsidRDefault="003631BF" w:rsidP="003631BF"/>
    <w:p w:rsidR="003631BF" w:rsidRDefault="003631BF" w:rsidP="003631BF"/>
    <w:p w:rsidR="003631BF" w:rsidRDefault="003631BF" w:rsidP="003631BF"/>
    <w:p w:rsidR="003631BF" w:rsidRDefault="003631BF" w:rsidP="003631BF">
      <w:bookmarkStart w:id="0" w:name="_GoBack"/>
    </w:p>
    <w:bookmarkEnd w:id="0"/>
    <w:p w:rsidR="003631BF" w:rsidRDefault="003631BF" w:rsidP="003631BF"/>
    <w:p w:rsidR="003631BF" w:rsidRDefault="003631BF" w:rsidP="003631BF">
      <w:pPr>
        <w:rPr>
          <w:b/>
        </w:rPr>
      </w:pPr>
      <w:r w:rsidRPr="009758D2">
        <w:rPr>
          <w:b/>
        </w:rPr>
        <w:t>Mitarbeiter nach Segmente</w:t>
      </w:r>
      <w:r>
        <w:rPr>
          <w:b/>
        </w:rPr>
        <w:t>n</w:t>
      </w:r>
    </w:p>
    <w:p w:rsidR="003631BF" w:rsidRDefault="003631BF" w:rsidP="003631BF">
      <w:pPr>
        <w:rPr>
          <w:b/>
        </w:rPr>
      </w:pPr>
    </w:p>
    <w:p w:rsidR="00BA2BB0" w:rsidRDefault="00BA2BB0" w:rsidP="003631BF">
      <w:pPr>
        <w:rPr>
          <w:b/>
        </w:rPr>
      </w:pPr>
    </w:p>
    <w:p w:rsidR="003631BF" w:rsidRDefault="003631BF" w:rsidP="003631BF">
      <w:pPr>
        <w:rPr>
          <w:b/>
        </w:rPr>
      </w:pPr>
      <w:r w:rsidRPr="009758D2">
        <w:rPr>
          <w:noProof/>
        </w:rPr>
        <w:drawing>
          <wp:anchor distT="0" distB="0" distL="114300" distR="114300" simplePos="0" relativeHeight="251660288" behindDoc="1" locked="0" layoutInCell="1" allowOverlap="1" wp14:anchorId="6A2B0C3F" wp14:editId="1081B4AA">
            <wp:simplePos x="0" y="0"/>
            <wp:positionH relativeFrom="margin">
              <wp:align>left</wp:align>
            </wp:positionH>
            <wp:positionV relativeFrom="paragraph">
              <wp:posOffset>303530</wp:posOffset>
            </wp:positionV>
            <wp:extent cx="4716780" cy="1377315"/>
            <wp:effectExtent l="0" t="0" r="7620" b="0"/>
            <wp:wrapTight wrapText="bothSides">
              <wp:wrapPolygon edited="0">
                <wp:start x="0" y="0"/>
                <wp:lineTo x="0" y="21212"/>
                <wp:lineTo x="21548" y="21212"/>
                <wp:lineTo x="2154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6780" cy="1377315"/>
                    </a:xfrm>
                    <a:prstGeom prst="rect">
                      <a:avLst/>
                    </a:prstGeom>
                    <a:noFill/>
                    <a:ln>
                      <a:noFill/>
                    </a:ln>
                  </pic:spPr>
                </pic:pic>
              </a:graphicData>
            </a:graphic>
          </wp:anchor>
        </w:drawing>
      </w:r>
      <w:r w:rsidRPr="009758D2">
        <w:rPr>
          <w:b/>
        </w:rPr>
        <w:t>Mitarbeiter nach Segmente</w:t>
      </w:r>
      <w:r>
        <w:rPr>
          <w:b/>
        </w:rPr>
        <w:t>n</w:t>
      </w:r>
    </w:p>
    <w:p w:rsidR="003631BF" w:rsidRDefault="003631BF" w:rsidP="003631BF">
      <w:pPr>
        <w:rPr>
          <w:b/>
        </w:rPr>
      </w:pPr>
    </w:p>
    <w:p w:rsidR="003631BF" w:rsidRDefault="003631BF" w:rsidP="003631BF"/>
    <w:p w:rsidR="003631BF" w:rsidRDefault="003631BF" w:rsidP="003631BF"/>
    <w:p w:rsidR="003631BF" w:rsidRDefault="003631BF" w:rsidP="003631BF"/>
    <w:p w:rsidR="003631BF" w:rsidRDefault="003631BF" w:rsidP="003631BF">
      <w:pPr>
        <w:autoSpaceDE w:val="0"/>
        <w:autoSpaceDN w:val="0"/>
        <w:adjustRightInd w:val="0"/>
        <w:spacing w:line="220" w:lineRule="exact"/>
        <w:rPr>
          <w:rFonts w:cs="Lucida Sans Unicode"/>
          <w:b/>
          <w:bCs/>
          <w:sz w:val="18"/>
          <w:szCs w:val="18"/>
        </w:rPr>
      </w:pPr>
    </w:p>
    <w:p w:rsidR="003631BF" w:rsidRDefault="003631BF" w:rsidP="003631BF">
      <w:pPr>
        <w:autoSpaceDE w:val="0"/>
        <w:autoSpaceDN w:val="0"/>
        <w:adjustRightInd w:val="0"/>
        <w:spacing w:line="220" w:lineRule="exact"/>
        <w:rPr>
          <w:rFonts w:cs="Lucida Sans Unicode"/>
          <w:b/>
          <w:bCs/>
          <w:sz w:val="18"/>
          <w:szCs w:val="18"/>
        </w:rPr>
      </w:pPr>
    </w:p>
    <w:p w:rsidR="003631BF" w:rsidRDefault="003631BF" w:rsidP="003631BF">
      <w:pPr>
        <w:autoSpaceDE w:val="0"/>
        <w:autoSpaceDN w:val="0"/>
        <w:adjustRightInd w:val="0"/>
        <w:spacing w:line="220" w:lineRule="exact"/>
        <w:rPr>
          <w:rFonts w:cs="Lucida Sans Unicode"/>
          <w:b/>
          <w:bCs/>
          <w:sz w:val="18"/>
          <w:szCs w:val="18"/>
        </w:rPr>
      </w:pPr>
    </w:p>
    <w:p w:rsidR="003631BF" w:rsidRDefault="003631BF" w:rsidP="003631BF">
      <w:pPr>
        <w:autoSpaceDE w:val="0"/>
        <w:autoSpaceDN w:val="0"/>
        <w:adjustRightInd w:val="0"/>
        <w:spacing w:line="220" w:lineRule="exact"/>
        <w:rPr>
          <w:rFonts w:cs="Lucida Sans Unicode"/>
          <w:b/>
          <w:bCs/>
          <w:sz w:val="18"/>
          <w:szCs w:val="18"/>
        </w:rPr>
      </w:pPr>
    </w:p>
    <w:p w:rsidR="003631BF" w:rsidRDefault="003631BF" w:rsidP="003631BF">
      <w:pPr>
        <w:autoSpaceDE w:val="0"/>
        <w:autoSpaceDN w:val="0"/>
        <w:adjustRightInd w:val="0"/>
        <w:spacing w:line="220" w:lineRule="exact"/>
        <w:rPr>
          <w:rFonts w:cs="Lucida Sans Unicode"/>
          <w:b/>
          <w:bCs/>
          <w:sz w:val="18"/>
          <w:szCs w:val="18"/>
        </w:rPr>
      </w:pPr>
    </w:p>
    <w:p w:rsidR="00BA2BB0" w:rsidRDefault="00BA2BB0" w:rsidP="00BA2BB0">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rsidR="00BA2BB0" w:rsidRPr="004521DC" w:rsidRDefault="00BA2BB0" w:rsidP="00BA2BB0">
      <w:pPr>
        <w:autoSpaceDE w:val="0"/>
        <w:autoSpaceDN w:val="0"/>
        <w:adjustRightInd w:val="0"/>
        <w:spacing w:line="220" w:lineRule="exact"/>
        <w:rPr>
          <w:rFonts w:cs="Lucida Sans Unicode"/>
          <w:bCs/>
          <w:sz w:val="18"/>
          <w:szCs w:val="18"/>
        </w:rPr>
      </w:pPr>
      <w:r w:rsidRPr="00BF457E">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in über 100 Ländern der Welt aktiv und profitiert besonders von seiner Kundennähe und seinen führenden Marktp</w:t>
      </w:r>
      <w:r>
        <w:rPr>
          <w:rFonts w:cs="Lucida Sans Unicode"/>
          <w:bCs/>
          <w:sz w:val="18"/>
          <w:szCs w:val="18"/>
        </w:rPr>
        <w:t>ositionen. Im Geschäftsjahr 2018</w:t>
      </w:r>
      <w:r w:rsidRPr="00BF457E">
        <w:rPr>
          <w:rFonts w:cs="Lucida Sans Unicode"/>
          <w:bCs/>
          <w:sz w:val="18"/>
          <w:szCs w:val="18"/>
        </w:rPr>
        <w:t xml:space="preserve"> erwirtschaftete das Unterneh</w:t>
      </w:r>
      <w:r>
        <w:rPr>
          <w:rFonts w:cs="Lucida Sans Unicode"/>
          <w:bCs/>
          <w:sz w:val="18"/>
          <w:szCs w:val="18"/>
        </w:rPr>
        <w:t xml:space="preserve">men in den </w:t>
      </w:r>
      <w:r>
        <w:rPr>
          <w:sz w:val="18"/>
          <w:szCs w:val="18"/>
        </w:rPr>
        <w:t>fortgeführten Aktivitäten</w:t>
      </w:r>
      <w:r>
        <w:rPr>
          <w:rFonts w:cs="Lucida Sans Unicode"/>
          <w:bCs/>
          <w:sz w:val="18"/>
          <w:szCs w:val="18"/>
        </w:rPr>
        <w:t xml:space="preserve"> mit mehr als 32</w:t>
      </w:r>
      <w:r w:rsidRPr="00BF457E">
        <w:rPr>
          <w:rFonts w:cs="Lucida Sans Unicode"/>
          <w:bCs/>
          <w:sz w:val="18"/>
          <w:szCs w:val="18"/>
        </w:rPr>
        <w:t xml:space="preserve">.000 Mitarbeitern </w:t>
      </w:r>
      <w:r>
        <w:rPr>
          <w:rFonts w:cs="Lucida Sans Unicode"/>
          <w:bCs/>
          <w:sz w:val="18"/>
          <w:szCs w:val="18"/>
        </w:rPr>
        <w:t>einen Umsatz von 13,3</w:t>
      </w:r>
      <w:r w:rsidRPr="00BF457E">
        <w:rPr>
          <w:rFonts w:cs="Lucida Sans Unicode"/>
          <w:bCs/>
          <w:sz w:val="18"/>
          <w:szCs w:val="18"/>
        </w:rPr>
        <w:t xml:space="preserve"> Mrd. </w:t>
      </w:r>
      <w:r w:rsidRPr="000A34D1">
        <w:rPr>
          <w:sz w:val="18"/>
          <w:szCs w:val="18"/>
        </w:rPr>
        <w:t>€</w:t>
      </w:r>
      <w:r w:rsidRPr="00BF457E">
        <w:rPr>
          <w:rFonts w:cs="Lucida Sans Unicode"/>
          <w:bCs/>
          <w:sz w:val="18"/>
          <w:szCs w:val="18"/>
        </w:rPr>
        <w:t xml:space="preserve"> </w:t>
      </w:r>
      <w:r>
        <w:rPr>
          <w:rFonts w:cs="Lucida Sans Unicode"/>
          <w:bCs/>
          <w:sz w:val="18"/>
          <w:szCs w:val="18"/>
        </w:rPr>
        <w:t xml:space="preserve">und </w:t>
      </w:r>
      <w:r w:rsidRPr="00BF457E">
        <w:rPr>
          <w:rFonts w:cs="Lucida Sans Unicode"/>
          <w:bCs/>
          <w:sz w:val="18"/>
          <w:szCs w:val="18"/>
        </w:rPr>
        <w:t>einen Gewi</w:t>
      </w:r>
      <w:r>
        <w:rPr>
          <w:rFonts w:cs="Lucida Sans Unicode"/>
          <w:bCs/>
          <w:sz w:val="18"/>
          <w:szCs w:val="18"/>
        </w:rPr>
        <w:t>nn (bereinigtes EBITDA) von 2,15</w:t>
      </w:r>
      <w:r w:rsidRPr="00BF457E">
        <w:rPr>
          <w:rFonts w:cs="Lucida Sans Unicode"/>
          <w:bCs/>
          <w:sz w:val="18"/>
          <w:szCs w:val="18"/>
        </w:rPr>
        <w:t xml:space="preserve"> Mrd. </w:t>
      </w:r>
      <w:r w:rsidRPr="000A34D1">
        <w:rPr>
          <w:sz w:val="18"/>
          <w:szCs w:val="18"/>
        </w:rPr>
        <w:t>€</w:t>
      </w:r>
      <w:r w:rsidRPr="00BF457E">
        <w:rPr>
          <w:rFonts w:cs="Lucida Sans Unicode"/>
          <w:bCs/>
          <w:sz w:val="18"/>
          <w:szCs w:val="18"/>
        </w:rPr>
        <w:t>.</w:t>
      </w:r>
    </w:p>
    <w:p w:rsidR="00BA2BB0" w:rsidRDefault="00BA2BB0" w:rsidP="00BA2BB0">
      <w:pPr>
        <w:rPr>
          <w:sz w:val="18"/>
          <w:szCs w:val="18"/>
        </w:rPr>
      </w:pPr>
    </w:p>
    <w:p w:rsidR="00BA2BB0" w:rsidRDefault="00BA2BB0" w:rsidP="00BA2BB0">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BA2BB0" w:rsidRDefault="00BA2BB0" w:rsidP="00BA2BB0">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CB5958" w:rsidRDefault="000B1B97" w:rsidP="00ED7B8C">
      <w:pPr>
        <w:autoSpaceDE w:val="0"/>
        <w:autoSpaceDN w:val="0"/>
        <w:adjustRightInd w:val="0"/>
        <w:spacing w:line="220" w:lineRule="exact"/>
        <w:rPr>
          <w:rFonts w:cs="Lucida Sans Unicode"/>
          <w:color w:val="000000" w:themeColor="text1"/>
          <w:sz w:val="18"/>
          <w:szCs w:val="18"/>
        </w:rPr>
      </w:pPr>
    </w:p>
    <w:sectPr w:rsidR="000B1B97" w:rsidRPr="00CB5958" w:rsidSect="008F0613">
      <w:headerReference w:type="default" r:id="rId13"/>
      <w:footerReference w:type="default" r:id="rId14"/>
      <w:headerReference w:type="first" r:id="rId15"/>
      <w:footerReference w:type="first" r:id="rId16"/>
      <w:type w:val="continuous"/>
      <w:pgSz w:w="11906" w:h="16838" w:code="9"/>
      <w:pgMar w:top="2977" w:right="3117"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CA5" w:rsidRDefault="00894CA5" w:rsidP="00FD1184">
      <w:r>
        <w:separator/>
      </w:r>
    </w:p>
  </w:endnote>
  <w:endnote w:type="continuationSeparator" w:id="0">
    <w:p w:rsidR="00894CA5" w:rsidRDefault="00894CA5" w:rsidP="00FD1184">
      <w:r>
        <w:continuationSeparator/>
      </w:r>
    </w:p>
  </w:endnote>
  <w:endnote w:type="continuationNotice" w:id="1">
    <w:p w:rsidR="00894CA5" w:rsidRDefault="00894C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BF" w:rsidRDefault="00DC2EBF">
    <w:pPr>
      <w:pStyle w:val="Fuzeile"/>
    </w:pPr>
  </w:p>
  <w:p w:rsidR="00DC2EBF" w:rsidRDefault="00DC2EB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A2BB0">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A2BB0">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BF" w:rsidRDefault="00DC2EBF" w:rsidP="00316EC0">
    <w:pPr>
      <w:pStyle w:val="Fuzeile"/>
    </w:pPr>
  </w:p>
  <w:p w:rsidR="00DC2EBF" w:rsidRPr="005225EC" w:rsidRDefault="00DC2EB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A2BB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A2BB0">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CA5" w:rsidRDefault="00894CA5" w:rsidP="00FD1184">
      <w:r>
        <w:separator/>
      </w:r>
    </w:p>
  </w:footnote>
  <w:footnote w:type="continuationSeparator" w:id="0">
    <w:p w:rsidR="00894CA5" w:rsidRDefault="00894CA5" w:rsidP="00FD1184">
      <w:r>
        <w:continuationSeparator/>
      </w:r>
    </w:p>
  </w:footnote>
  <w:footnote w:type="continuationNotice" w:id="1">
    <w:p w:rsidR="00894CA5" w:rsidRDefault="00894CA5">
      <w:pPr>
        <w:spacing w:line="240" w:lineRule="auto"/>
      </w:pPr>
    </w:p>
  </w:footnote>
  <w:footnote w:id="2">
    <w:p w:rsidR="00BA2BB0" w:rsidRDefault="00BA2BB0" w:rsidP="00BA2BB0">
      <w:pPr>
        <w:pStyle w:val="Funotentext"/>
      </w:pPr>
      <w:r>
        <w:rPr>
          <w:rStyle w:val="Funotenzeichen"/>
        </w:rPr>
        <w:footnoteRef/>
      </w:r>
      <w:r>
        <w:t xml:space="preserve"> </w:t>
      </w:r>
      <w:r w:rsidRPr="006C0135">
        <w:rPr>
          <w:sz w:val="16"/>
          <w:szCs w:val="16"/>
        </w:rPr>
        <w:t xml:space="preserve">Das </w:t>
      </w:r>
      <w:proofErr w:type="spellStart"/>
      <w:r w:rsidRPr="006C0135">
        <w:rPr>
          <w:sz w:val="16"/>
          <w:szCs w:val="16"/>
        </w:rPr>
        <w:t>Methacrylatgeschäft</w:t>
      </w:r>
      <w:proofErr w:type="spellEnd"/>
      <w:r w:rsidRPr="006C0135">
        <w:rPr>
          <w:sz w:val="16"/>
          <w:szCs w:val="16"/>
        </w:rPr>
        <w:t xml:space="preserve"> wurde in die nicht fortgeführten Aktivitäten </w:t>
      </w:r>
      <w:proofErr w:type="spellStart"/>
      <w:r w:rsidRPr="006C0135">
        <w:rPr>
          <w:sz w:val="16"/>
          <w:szCs w:val="16"/>
        </w:rPr>
        <w:t>umgeglie</w:t>
      </w:r>
      <w:r>
        <w:rPr>
          <w:sz w:val="16"/>
          <w:szCs w:val="16"/>
        </w:rPr>
        <w:t>dert</w:t>
      </w:r>
      <w:proofErr w:type="spellEnd"/>
      <w:r>
        <w:rPr>
          <w:sz w:val="16"/>
          <w:szCs w:val="16"/>
        </w:rPr>
        <w:t>, die Abgabe wird für das dritte</w:t>
      </w:r>
      <w:r w:rsidRPr="006C0135">
        <w:rPr>
          <w:sz w:val="16"/>
          <w:szCs w:val="16"/>
        </w:rPr>
        <w:t xml:space="preserve"> Quartal erwartet.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BF" w:rsidRPr="006C35A6" w:rsidRDefault="00DC2EBF" w:rsidP="00316EC0">
    <w:pPr>
      <w:pStyle w:val="Kopfzeile"/>
      <w:spacing w:after="1880"/>
      <w:rPr>
        <w:sz w:val="2"/>
        <w:szCs w:val="2"/>
      </w:rPr>
    </w:pPr>
    <w:r>
      <w:rPr>
        <w:noProof/>
      </w:rPr>
      <w:drawing>
        <wp:anchor distT="0" distB="0" distL="114300" distR="114300" simplePos="0" relativeHeight="251658243" behindDoc="0" locked="0" layoutInCell="1" allowOverlap="1" wp14:anchorId="64F6E84B" wp14:editId="64F6E84C">
          <wp:simplePos x="0" y="0"/>
          <wp:positionH relativeFrom="page">
            <wp:posOffset>866775</wp:posOffset>
          </wp:positionH>
          <wp:positionV relativeFrom="page">
            <wp:posOffset>628650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58241" behindDoc="1" locked="0" layoutInCell="1" allowOverlap="1" wp14:anchorId="64F6E84D" wp14:editId="64F6E84E">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EBF" w:rsidRPr="006C35A6" w:rsidRDefault="00DC2EBF">
    <w:pPr>
      <w:pStyle w:val="Kopfzeile"/>
      <w:rPr>
        <w:b/>
        <w:sz w:val="2"/>
        <w:szCs w:val="2"/>
      </w:rPr>
    </w:pPr>
    <w:r>
      <w:rPr>
        <w:noProof/>
      </w:rPr>
      <w:drawing>
        <wp:anchor distT="0" distB="0" distL="114300" distR="114300" simplePos="0" relativeHeight="251658242" behindDoc="0" locked="0" layoutInCell="1" allowOverlap="1" wp14:anchorId="64F6E84F" wp14:editId="64F6E850">
          <wp:simplePos x="0" y="0"/>
          <wp:positionH relativeFrom="page">
            <wp:posOffset>866775</wp:posOffset>
          </wp:positionH>
          <wp:positionV relativeFrom="page">
            <wp:posOffset>628650</wp:posOffset>
          </wp:positionV>
          <wp:extent cx="1911350" cy="133350"/>
          <wp:effectExtent l="0" t="0" r="0" b="0"/>
          <wp:wrapNone/>
          <wp:docPr id="10"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58240" behindDoc="1" locked="0" layoutInCell="1" allowOverlap="1" wp14:anchorId="64F6E851" wp14:editId="64F6E852">
          <wp:simplePos x="0" y="0"/>
          <wp:positionH relativeFrom="column">
            <wp:posOffset>4266565</wp:posOffset>
          </wp:positionH>
          <wp:positionV relativeFrom="paragraph">
            <wp:posOffset>-144145</wp:posOffset>
          </wp:positionV>
          <wp:extent cx="1872000" cy="500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20"/>
  </w:num>
  <w:num w:numId="16">
    <w:abstractNumId w:val="19"/>
  </w:num>
  <w:num w:numId="17">
    <w:abstractNumId w:val="11"/>
  </w:num>
  <w:num w:numId="18">
    <w:abstractNumId w:val="13"/>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4"/>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35619"/>
    <w:rsid w:val="00040490"/>
    <w:rsid w:val="00042355"/>
    <w:rsid w:val="00044EB8"/>
    <w:rsid w:val="00046D8D"/>
    <w:rsid w:val="000471A5"/>
    <w:rsid w:val="00047E57"/>
    <w:rsid w:val="00052FB1"/>
    <w:rsid w:val="0006177F"/>
    <w:rsid w:val="00074349"/>
    <w:rsid w:val="00084555"/>
    <w:rsid w:val="000846DA"/>
    <w:rsid w:val="00086556"/>
    <w:rsid w:val="000902FA"/>
    <w:rsid w:val="00092F83"/>
    <w:rsid w:val="000936B4"/>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173E"/>
    <w:rsid w:val="0017414F"/>
    <w:rsid w:val="00196518"/>
    <w:rsid w:val="001A4C33"/>
    <w:rsid w:val="001B206A"/>
    <w:rsid w:val="001B3F08"/>
    <w:rsid w:val="001B517F"/>
    <w:rsid w:val="001D5737"/>
    <w:rsid w:val="001F00B7"/>
    <w:rsid w:val="001F64FB"/>
    <w:rsid w:val="001F7C26"/>
    <w:rsid w:val="00210426"/>
    <w:rsid w:val="002159BA"/>
    <w:rsid w:val="00221C32"/>
    <w:rsid w:val="0022399B"/>
    <w:rsid w:val="00230FD8"/>
    <w:rsid w:val="0023466C"/>
    <w:rsid w:val="0024351A"/>
    <w:rsid w:val="0024351E"/>
    <w:rsid w:val="002465EB"/>
    <w:rsid w:val="00247D5A"/>
    <w:rsid w:val="00262EE6"/>
    <w:rsid w:val="00266B39"/>
    <w:rsid w:val="002771D9"/>
    <w:rsid w:val="00281895"/>
    <w:rsid w:val="00287090"/>
    <w:rsid w:val="00290F07"/>
    <w:rsid w:val="002922C1"/>
    <w:rsid w:val="00292FDD"/>
    <w:rsid w:val="002A5575"/>
    <w:rsid w:val="002B15DF"/>
    <w:rsid w:val="002B6293"/>
    <w:rsid w:val="002B645E"/>
    <w:rsid w:val="002B6B13"/>
    <w:rsid w:val="002C10C6"/>
    <w:rsid w:val="002C12A0"/>
    <w:rsid w:val="002C5D97"/>
    <w:rsid w:val="002D1D30"/>
    <w:rsid w:val="002D206A"/>
    <w:rsid w:val="002D2996"/>
    <w:rsid w:val="002D4244"/>
    <w:rsid w:val="00301998"/>
    <w:rsid w:val="003067D4"/>
    <w:rsid w:val="00310E85"/>
    <w:rsid w:val="00316EC0"/>
    <w:rsid w:val="00326A08"/>
    <w:rsid w:val="003402B9"/>
    <w:rsid w:val="003449DC"/>
    <w:rsid w:val="00344E3B"/>
    <w:rsid w:val="003508E4"/>
    <w:rsid w:val="00350E73"/>
    <w:rsid w:val="00357397"/>
    <w:rsid w:val="00362976"/>
    <w:rsid w:val="003631BF"/>
    <w:rsid w:val="00367974"/>
    <w:rsid w:val="00373896"/>
    <w:rsid w:val="00380845"/>
    <w:rsid w:val="00384C52"/>
    <w:rsid w:val="003A023D"/>
    <w:rsid w:val="003A1BB1"/>
    <w:rsid w:val="003A4CED"/>
    <w:rsid w:val="003B59CB"/>
    <w:rsid w:val="003C0198"/>
    <w:rsid w:val="003D3C20"/>
    <w:rsid w:val="003D6E84"/>
    <w:rsid w:val="003E4161"/>
    <w:rsid w:val="003E579E"/>
    <w:rsid w:val="003F01FD"/>
    <w:rsid w:val="004016F5"/>
    <w:rsid w:val="0040463F"/>
    <w:rsid w:val="004146D3"/>
    <w:rsid w:val="00422338"/>
    <w:rsid w:val="00425350"/>
    <w:rsid w:val="00425650"/>
    <w:rsid w:val="0043133D"/>
    <w:rsid w:val="0043268C"/>
    <w:rsid w:val="00432732"/>
    <w:rsid w:val="004528BE"/>
    <w:rsid w:val="0045460D"/>
    <w:rsid w:val="00476F6F"/>
    <w:rsid w:val="0047761E"/>
    <w:rsid w:val="00480AC2"/>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D059E"/>
    <w:rsid w:val="005E0397"/>
    <w:rsid w:val="005E799F"/>
    <w:rsid w:val="005F234C"/>
    <w:rsid w:val="005F238D"/>
    <w:rsid w:val="005F50D9"/>
    <w:rsid w:val="00602045"/>
    <w:rsid w:val="00605C02"/>
    <w:rsid w:val="00606A38"/>
    <w:rsid w:val="00623460"/>
    <w:rsid w:val="0062732C"/>
    <w:rsid w:val="00631ACD"/>
    <w:rsid w:val="00636C35"/>
    <w:rsid w:val="00645F2F"/>
    <w:rsid w:val="00647919"/>
    <w:rsid w:val="00652A75"/>
    <w:rsid w:val="006651E2"/>
    <w:rsid w:val="006679D3"/>
    <w:rsid w:val="006729D2"/>
    <w:rsid w:val="006A581A"/>
    <w:rsid w:val="006C35A6"/>
    <w:rsid w:val="006C388A"/>
    <w:rsid w:val="006C5B36"/>
    <w:rsid w:val="006D601A"/>
    <w:rsid w:val="006E2F15"/>
    <w:rsid w:val="006F0E03"/>
    <w:rsid w:val="006F3AB9"/>
    <w:rsid w:val="00717EDA"/>
    <w:rsid w:val="0072366D"/>
    <w:rsid w:val="00731495"/>
    <w:rsid w:val="00744FA6"/>
    <w:rsid w:val="00751E3D"/>
    <w:rsid w:val="00763004"/>
    <w:rsid w:val="00770879"/>
    <w:rsid w:val="00775D2E"/>
    <w:rsid w:val="007842EF"/>
    <w:rsid w:val="00784360"/>
    <w:rsid w:val="00794278"/>
    <w:rsid w:val="007967B7"/>
    <w:rsid w:val="007A2C47"/>
    <w:rsid w:val="007C42FA"/>
    <w:rsid w:val="007C51D2"/>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94CA5"/>
    <w:rsid w:val="008A0D35"/>
    <w:rsid w:val="008B03E0"/>
    <w:rsid w:val="008B7AFE"/>
    <w:rsid w:val="008C00D3"/>
    <w:rsid w:val="008C06FF"/>
    <w:rsid w:val="008C2187"/>
    <w:rsid w:val="008C31DC"/>
    <w:rsid w:val="008D2388"/>
    <w:rsid w:val="008D3409"/>
    <w:rsid w:val="008D4C4C"/>
    <w:rsid w:val="008D5A15"/>
    <w:rsid w:val="008D764C"/>
    <w:rsid w:val="008E1C40"/>
    <w:rsid w:val="008E646E"/>
    <w:rsid w:val="008E7921"/>
    <w:rsid w:val="008F0613"/>
    <w:rsid w:val="008F49C5"/>
    <w:rsid w:val="008F4A69"/>
    <w:rsid w:val="009031FF"/>
    <w:rsid w:val="0090621C"/>
    <w:rsid w:val="009151F2"/>
    <w:rsid w:val="00915982"/>
    <w:rsid w:val="00921EF8"/>
    <w:rsid w:val="00922A0A"/>
    <w:rsid w:val="00925FAA"/>
    <w:rsid w:val="0092775B"/>
    <w:rsid w:val="00932B3A"/>
    <w:rsid w:val="00933145"/>
    <w:rsid w:val="00934DE5"/>
    <w:rsid w:val="00935881"/>
    <w:rsid w:val="00950928"/>
    <w:rsid w:val="009560C1"/>
    <w:rsid w:val="00966112"/>
    <w:rsid w:val="00971345"/>
    <w:rsid w:val="009752DC"/>
    <w:rsid w:val="0097547F"/>
    <w:rsid w:val="009758D2"/>
    <w:rsid w:val="00977987"/>
    <w:rsid w:val="00984F18"/>
    <w:rsid w:val="00992553"/>
    <w:rsid w:val="009A15E8"/>
    <w:rsid w:val="009A2F60"/>
    <w:rsid w:val="009A7CDC"/>
    <w:rsid w:val="009B1AD8"/>
    <w:rsid w:val="009C3E7C"/>
    <w:rsid w:val="009C40DA"/>
    <w:rsid w:val="009C5F4B"/>
    <w:rsid w:val="009D0419"/>
    <w:rsid w:val="009E3A1C"/>
    <w:rsid w:val="009E6ECD"/>
    <w:rsid w:val="009F05F2"/>
    <w:rsid w:val="009F07B1"/>
    <w:rsid w:val="00A1593C"/>
    <w:rsid w:val="00A15B52"/>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A4520"/>
    <w:rsid w:val="00AE3848"/>
    <w:rsid w:val="00AF0606"/>
    <w:rsid w:val="00AF2D10"/>
    <w:rsid w:val="00AF611F"/>
    <w:rsid w:val="00B128FD"/>
    <w:rsid w:val="00B153A8"/>
    <w:rsid w:val="00B2025B"/>
    <w:rsid w:val="00B215C4"/>
    <w:rsid w:val="00B21795"/>
    <w:rsid w:val="00B2500C"/>
    <w:rsid w:val="00B300C4"/>
    <w:rsid w:val="00B31D5A"/>
    <w:rsid w:val="00B40D53"/>
    <w:rsid w:val="00B46BD0"/>
    <w:rsid w:val="00B50494"/>
    <w:rsid w:val="00B66AFD"/>
    <w:rsid w:val="00B811DE"/>
    <w:rsid w:val="00B84B1E"/>
    <w:rsid w:val="00B85905"/>
    <w:rsid w:val="00BA19DB"/>
    <w:rsid w:val="00BA2BB0"/>
    <w:rsid w:val="00BA41A7"/>
    <w:rsid w:val="00BA47C6"/>
    <w:rsid w:val="00BA4EB5"/>
    <w:rsid w:val="00BA584D"/>
    <w:rsid w:val="00BA6649"/>
    <w:rsid w:val="00BC1D7E"/>
    <w:rsid w:val="00BC2441"/>
    <w:rsid w:val="00BC778C"/>
    <w:rsid w:val="00BD10E1"/>
    <w:rsid w:val="00BD7BED"/>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21B7"/>
    <w:rsid w:val="00C33407"/>
    <w:rsid w:val="00C34E2B"/>
    <w:rsid w:val="00C40E5D"/>
    <w:rsid w:val="00C41363"/>
    <w:rsid w:val="00C4228E"/>
    <w:rsid w:val="00C4300F"/>
    <w:rsid w:val="00C532A5"/>
    <w:rsid w:val="00C60F15"/>
    <w:rsid w:val="00C62002"/>
    <w:rsid w:val="00C670ED"/>
    <w:rsid w:val="00C73D0F"/>
    <w:rsid w:val="00C930F0"/>
    <w:rsid w:val="00CA38DA"/>
    <w:rsid w:val="00CA45F5"/>
    <w:rsid w:val="00CB3A53"/>
    <w:rsid w:val="00CB5958"/>
    <w:rsid w:val="00CC69A5"/>
    <w:rsid w:val="00CD18DB"/>
    <w:rsid w:val="00CD56FC"/>
    <w:rsid w:val="00CE2E92"/>
    <w:rsid w:val="00CF2E07"/>
    <w:rsid w:val="00CF3942"/>
    <w:rsid w:val="00CF60F7"/>
    <w:rsid w:val="00CF7B90"/>
    <w:rsid w:val="00D129CF"/>
    <w:rsid w:val="00D333AA"/>
    <w:rsid w:val="00D35567"/>
    <w:rsid w:val="00D418FB"/>
    <w:rsid w:val="00D45AB6"/>
    <w:rsid w:val="00D46695"/>
    <w:rsid w:val="00D46DAB"/>
    <w:rsid w:val="00D50B3E"/>
    <w:rsid w:val="00D55961"/>
    <w:rsid w:val="00D55A26"/>
    <w:rsid w:val="00D60C11"/>
    <w:rsid w:val="00D60EE3"/>
    <w:rsid w:val="00D67640"/>
    <w:rsid w:val="00D72A07"/>
    <w:rsid w:val="00D75317"/>
    <w:rsid w:val="00D84239"/>
    <w:rsid w:val="00D90774"/>
    <w:rsid w:val="00D9146B"/>
    <w:rsid w:val="00D95388"/>
    <w:rsid w:val="00D96E15"/>
    <w:rsid w:val="00DA639C"/>
    <w:rsid w:val="00DA6694"/>
    <w:rsid w:val="00DB0866"/>
    <w:rsid w:val="00DB3E3C"/>
    <w:rsid w:val="00DB69A5"/>
    <w:rsid w:val="00DC2EBF"/>
    <w:rsid w:val="00DC707C"/>
    <w:rsid w:val="00DD310A"/>
    <w:rsid w:val="00DD3173"/>
    <w:rsid w:val="00DE534A"/>
    <w:rsid w:val="00DE7850"/>
    <w:rsid w:val="00DE79ED"/>
    <w:rsid w:val="00E02AB1"/>
    <w:rsid w:val="00E05BB2"/>
    <w:rsid w:val="00E06007"/>
    <w:rsid w:val="00E105C5"/>
    <w:rsid w:val="00E120CF"/>
    <w:rsid w:val="00E13506"/>
    <w:rsid w:val="00E14F67"/>
    <w:rsid w:val="00E16F79"/>
    <w:rsid w:val="00E172A1"/>
    <w:rsid w:val="00E238CB"/>
    <w:rsid w:val="00E360D1"/>
    <w:rsid w:val="00E363F0"/>
    <w:rsid w:val="00E41D4D"/>
    <w:rsid w:val="00E430EA"/>
    <w:rsid w:val="00E44B62"/>
    <w:rsid w:val="00E51F62"/>
    <w:rsid w:val="00E54E15"/>
    <w:rsid w:val="00E67709"/>
    <w:rsid w:val="00E82D6F"/>
    <w:rsid w:val="00E8576B"/>
    <w:rsid w:val="00E95719"/>
    <w:rsid w:val="00E97290"/>
    <w:rsid w:val="00EB0C3E"/>
    <w:rsid w:val="00EC012C"/>
    <w:rsid w:val="00EC2C4D"/>
    <w:rsid w:val="00EC6390"/>
    <w:rsid w:val="00ED7B8C"/>
    <w:rsid w:val="00EF353E"/>
    <w:rsid w:val="00EF58DD"/>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28AF"/>
    <w:rsid w:val="00FB47F4"/>
    <w:rsid w:val="00FC058D"/>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 w:type="paragraph" w:customStyle="1" w:styleId="Bodytext">
    <w:name w:val="Bodytext"/>
    <w:qFormat/>
    <w:rsid w:val="00BA19DB"/>
    <w:pPr>
      <w:spacing w:line="360" w:lineRule="auto"/>
    </w:pPr>
    <w:rPr>
      <w:rFonts w:ascii="Arial" w:hAnsi="Arial"/>
      <w:sz w:val="22"/>
    </w:rPr>
  </w:style>
  <w:style w:type="paragraph" w:customStyle="1" w:styleId="Formatvorlage1-pm">
    <w:name w:val="Formatvorlage1-pm"/>
    <w:basedOn w:val="Standard"/>
    <w:link w:val="Formatvorlage1-pmZchn"/>
    <w:qFormat/>
    <w:rsid w:val="00BA47C6"/>
  </w:style>
  <w:style w:type="character" w:customStyle="1" w:styleId="Formatvorlage1-pmZchn">
    <w:name w:val="Formatvorlage1-pm Zchn"/>
    <w:basedOn w:val="Absatz-Standardschriftart"/>
    <w:link w:val="Formatvorlage1-pm"/>
    <w:rsid w:val="00BA47C6"/>
    <w:rPr>
      <w:rFonts w:ascii="Lucida Sans Unicode" w:hAnsi="Lucida Sans Unicode"/>
      <w:sz w:val="22"/>
      <w:szCs w:val="24"/>
    </w:rPr>
  </w:style>
  <w:style w:type="paragraph" w:styleId="Funotentext">
    <w:name w:val="footnote text"/>
    <w:basedOn w:val="Standard"/>
    <w:link w:val="FunotentextZchn"/>
    <w:semiHidden/>
    <w:unhideWhenUsed/>
    <w:rsid w:val="003631BF"/>
    <w:pPr>
      <w:spacing w:line="240" w:lineRule="auto"/>
    </w:pPr>
    <w:rPr>
      <w:sz w:val="20"/>
      <w:szCs w:val="20"/>
    </w:rPr>
  </w:style>
  <w:style w:type="character" w:customStyle="1" w:styleId="FunotentextZchn">
    <w:name w:val="Fußnotentext Zchn"/>
    <w:basedOn w:val="Absatz-Standardschriftart"/>
    <w:link w:val="Funotentext"/>
    <w:semiHidden/>
    <w:rsid w:val="003631BF"/>
    <w:rPr>
      <w:rFonts w:ascii="Lucida Sans Unicode" w:hAnsi="Lucida Sans Unicode"/>
    </w:rPr>
  </w:style>
  <w:style w:type="character" w:styleId="Funotenzeichen">
    <w:name w:val="footnote reference"/>
    <w:basedOn w:val="Absatz-Standardschriftart"/>
    <w:semiHidden/>
    <w:unhideWhenUsed/>
    <w:rsid w:val="00363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9707">
      <w:bodyDiv w:val="1"/>
      <w:marLeft w:val="0"/>
      <w:marRight w:val="0"/>
      <w:marTop w:val="0"/>
      <w:marBottom w:val="0"/>
      <w:divBdr>
        <w:top w:val="none" w:sz="0" w:space="0" w:color="auto"/>
        <w:left w:val="none" w:sz="0" w:space="0" w:color="auto"/>
        <w:bottom w:val="none" w:sz="0" w:space="0" w:color="auto"/>
        <w:right w:val="none" w:sz="0" w:space="0" w:color="auto"/>
      </w:divBdr>
    </w:div>
    <w:div w:id="1046180918">
      <w:bodyDiv w:val="1"/>
      <w:marLeft w:val="0"/>
      <w:marRight w:val="0"/>
      <w:marTop w:val="0"/>
      <w:marBottom w:val="0"/>
      <w:divBdr>
        <w:top w:val="none" w:sz="0" w:space="0" w:color="auto"/>
        <w:left w:val="none" w:sz="0" w:space="0" w:color="auto"/>
        <w:bottom w:val="none" w:sz="0" w:space="0" w:color="auto"/>
        <w:right w:val="none" w:sz="0" w:space="0" w:color="auto"/>
      </w:divBdr>
    </w:div>
    <w:div w:id="1125540311">
      <w:bodyDiv w:val="1"/>
      <w:marLeft w:val="0"/>
      <w:marRight w:val="0"/>
      <w:marTop w:val="0"/>
      <w:marBottom w:val="0"/>
      <w:divBdr>
        <w:top w:val="none" w:sz="0" w:space="0" w:color="auto"/>
        <w:left w:val="none" w:sz="0" w:space="0" w:color="auto"/>
        <w:bottom w:val="none" w:sz="0" w:space="0" w:color="auto"/>
        <w:right w:val="none" w:sz="0" w:space="0" w:color="auto"/>
      </w:divBdr>
    </w:div>
    <w:div w:id="1175731476">
      <w:bodyDiv w:val="1"/>
      <w:marLeft w:val="0"/>
      <w:marRight w:val="0"/>
      <w:marTop w:val="0"/>
      <w:marBottom w:val="0"/>
      <w:divBdr>
        <w:top w:val="none" w:sz="0" w:space="0" w:color="auto"/>
        <w:left w:val="none" w:sz="0" w:space="0" w:color="auto"/>
        <w:bottom w:val="none" w:sz="0" w:space="0" w:color="auto"/>
        <w:right w:val="none" w:sz="0" w:space="0" w:color="auto"/>
      </w:divBdr>
    </w:div>
    <w:div w:id="1433159339">
      <w:bodyDiv w:val="1"/>
      <w:marLeft w:val="0"/>
      <w:marRight w:val="0"/>
      <w:marTop w:val="0"/>
      <w:marBottom w:val="0"/>
      <w:divBdr>
        <w:top w:val="none" w:sz="0" w:space="0" w:color="auto"/>
        <w:left w:val="none" w:sz="0" w:space="0" w:color="auto"/>
        <w:bottom w:val="none" w:sz="0" w:space="0" w:color="auto"/>
        <w:right w:val="none" w:sz="0" w:space="0" w:color="auto"/>
      </w:divBdr>
    </w:div>
    <w:div w:id="1539272444">
      <w:bodyDiv w:val="1"/>
      <w:marLeft w:val="0"/>
      <w:marRight w:val="0"/>
      <w:marTop w:val="0"/>
      <w:marBottom w:val="0"/>
      <w:divBdr>
        <w:top w:val="none" w:sz="0" w:space="0" w:color="auto"/>
        <w:left w:val="none" w:sz="0" w:space="0" w:color="auto"/>
        <w:bottom w:val="none" w:sz="0" w:space="0" w:color="auto"/>
        <w:right w:val="none" w:sz="0" w:space="0" w:color="auto"/>
      </w:divBdr>
    </w:div>
    <w:div w:id="1613438042">
      <w:bodyDiv w:val="1"/>
      <w:marLeft w:val="0"/>
      <w:marRight w:val="0"/>
      <w:marTop w:val="0"/>
      <w:marBottom w:val="0"/>
      <w:divBdr>
        <w:top w:val="none" w:sz="0" w:space="0" w:color="auto"/>
        <w:left w:val="none" w:sz="0" w:space="0" w:color="auto"/>
        <w:bottom w:val="none" w:sz="0" w:space="0" w:color="auto"/>
        <w:right w:val="none" w:sz="0" w:space="0" w:color="auto"/>
      </w:divBdr>
    </w:div>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Evonik, IR News, Reporting Q1</Description0>
    <DocumentTitle xmlns="3900a7cd-735b-4f56-a6f4-08d139dd6cc3">DE_190507_Evonik startet solide ins Jahr 2019</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Value>IR-Presentations-2019</Value>
    </DynamicGrouping>
    <Materials_x0020__x002f__x0020_product_x0020_group xmlns="3900a7cd-735b-4f56-a6f4-08d139dd6cc3">
      <Value>Biobased polymers</Value>
    </Materials_x0020__x002f__x0020_product_x0020_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08661-8F65-4197-AFBE-DB50A1579C30}"/>
</file>

<file path=customXml/itemProps2.xml><?xml version="1.0" encoding="utf-8"?>
<ds:datastoreItem xmlns:ds="http://schemas.openxmlformats.org/officeDocument/2006/customXml" ds:itemID="{4AE16FE7-A6CE-4012-91F6-F569BF5B90CE}"/>
</file>

<file path=customXml/itemProps3.xml><?xml version="1.0" encoding="utf-8"?>
<ds:datastoreItem xmlns:ds="http://schemas.openxmlformats.org/officeDocument/2006/customXml" ds:itemID="{D4DDBAAB-3314-4AB8-9414-78B19A1D1277}"/>
</file>

<file path=docProps/app.xml><?xml version="1.0" encoding="utf-8"?>
<Properties xmlns="http://schemas.openxmlformats.org/officeDocument/2006/extended-properties" xmlns:vt="http://schemas.openxmlformats.org/officeDocument/2006/docPropsVTypes">
  <Template>60A7F735.dotm</Template>
  <TotalTime>0</TotalTime>
  <Pages>5</Pages>
  <Words>880</Words>
  <Characters>5987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6854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Schwane, Fabian</cp:lastModifiedBy>
  <cp:revision>13</cp:revision>
  <cp:lastPrinted>2019-05-06T07:26:00Z</cp:lastPrinted>
  <dcterms:created xsi:type="dcterms:W3CDTF">2019-04-30T07:27:00Z</dcterms:created>
  <dcterms:modified xsi:type="dcterms:W3CDTF">2019-05-06T14:08:00Z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